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A2856" w14:textId="77777777" w:rsidR="00484CB2" w:rsidRPr="00B66EDA" w:rsidRDefault="00484CB2" w:rsidP="00484CB2">
      <w:pPr>
        <w:pageBreakBefore/>
        <w:ind w:left="720" w:hanging="720"/>
        <w:rPr>
          <w:rFonts w:cs="Arial"/>
          <w:b/>
          <w:color w:val="005B82"/>
          <w:sz w:val="48"/>
          <w:szCs w:val="48"/>
          <w:lang w:eastAsia="en-GB"/>
        </w:rPr>
      </w:pPr>
    </w:p>
    <w:p w14:paraId="0DAA5F9C" w14:textId="77777777" w:rsidR="00A16F87" w:rsidRPr="00B66EDA" w:rsidRDefault="00A16F87" w:rsidP="006E7DEB">
      <w:pPr>
        <w:ind w:left="720" w:hanging="720"/>
        <w:rPr>
          <w:rFonts w:cs="Arial"/>
          <w:b/>
          <w:color w:val="005B82"/>
          <w:sz w:val="48"/>
          <w:szCs w:val="48"/>
          <w:lang w:eastAsia="en-GB"/>
        </w:rPr>
      </w:pPr>
    </w:p>
    <w:p w14:paraId="5C229A98" w14:textId="77777777" w:rsidR="00484CB2" w:rsidRPr="00B66EDA" w:rsidRDefault="00484CB2" w:rsidP="006E7DEB">
      <w:pPr>
        <w:ind w:left="720" w:hanging="720"/>
        <w:rPr>
          <w:rFonts w:cs="Arial"/>
          <w:b/>
          <w:color w:val="005B82"/>
          <w:sz w:val="48"/>
          <w:szCs w:val="48"/>
          <w:lang w:eastAsia="en-GB"/>
        </w:rPr>
      </w:pPr>
    </w:p>
    <w:p w14:paraId="36919887" w14:textId="77777777" w:rsidR="0072770B" w:rsidRPr="00B66EDA" w:rsidRDefault="0072770B" w:rsidP="006E7DEB">
      <w:pPr>
        <w:ind w:left="720" w:hanging="720"/>
        <w:rPr>
          <w:rFonts w:cs="Arial"/>
          <w:b/>
          <w:color w:val="005B82"/>
          <w:sz w:val="48"/>
          <w:szCs w:val="48"/>
          <w:lang w:eastAsia="en-GB"/>
        </w:rPr>
      </w:pPr>
    </w:p>
    <w:p w14:paraId="0A954EAF" w14:textId="77777777" w:rsidR="00484CB2" w:rsidRPr="00B66EDA" w:rsidRDefault="00484CB2" w:rsidP="006E7DEB">
      <w:pPr>
        <w:ind w:left="720" w:hanging="720"/>
        <w:rPr>
          <w:rFonts w:cs="Arial"/>
          <w:b/>
          <w:color w:val="005B82"/>
          <w:sz w:val="48"/>
          <w:szCs w:val="48"/>
          <w:lang w:eastAsia="en-GB"/>
        </w:rPr>
      </w:pPr>
    </w:p>
    <w:p w14:paraId="1CF848AC" w14:textId="77777777" w:rsidR="00484CB2" w:rsidRPr="00B66EDA" w:rsidRDefault="00484CB2" w:rsidP="006E7DEB">
      <w:pPr>
        <w:ind w:left="720" w:hanging="720"/>
        <w:rPr>
          <w:rFonts w:cs="Arial"/>
          <w:b/>
          <w:color w:val="005B82"/>
          <w:sz w:val="18"/>
          <w:szCs w:val="18"/>
          <w:lang w:eastAsia="en-GB"/>
        </w:rPr>
      </w:pPr>
    </w:p>
    <w:p w14:paraId="7C08B1B1" w14:textId="77777777" w:rsidR="00507832" w:rsidRPr="00B66EDA" w:rsidRDefault="00A724BF" w:rsidP="006E7DEB">
      <w:pPr>
        <w:ind w:left="720" w:hanging="720"/>
        <w:rPr>
          <w:rFonts w:cs="Arial"/>
          <w:b/>
          <w:sz w:val="40"/>
          <w:szCs w:val="40"/>
          <w:lang w:eastAsia="en-GB"/>
        </w:rPr>
      </w:pPr>
      <w:r w:rsidRPr="00B66EDA">
        <w:rPr>
          <w:rFonts w:cs="Arial"/>
          <w:b/>
          <w:sz w:val="40"/>
          <w:szCs w:val="40"/>
          <w:lang w:eastAsia="en-GB"/>
        </w:rPr>
        <w:t>Treasury Management Strategy</w:t>
      </w:r>
    </w:p>
    <w:p w14:paraId="7495D0E1" w14:textId="77777777" w:rsidR="00EB796A" w:rsidRPr="00B66EDA" w:rsidRDefault="00A724BF" w:rsidP="006E7DEB">
      <w:pPr>
        <w:ind w:left="720" w:hanging="720"/>
        <w:rPr>
          <w:rFonts w:cs="Arial"/>
          <w:b/>
          <w:sz w:val="40"/>
          <w:szCs w:val="40"/>
          <w:lang w:eastAsia="en-GB"/>
        </w:rPr>
      </w:pPr>
      <w:r w:rsidRPr="00B66EDA">
        <w:rPr>
          <w:rFonts w:cs="Arial"/>
          <w:b/>
          <w:sz w:val="40"/>
          <w:szCs w:val="40"/>
          <w:lang w:eastAsia="en-GB"/>
        </w:rPr>
        <w:t>Statement</w:t>
      </w:r>
    </w:p>
    <w:p w14:paraId="327B3210" w14:textId="77777777" w:rsidR="00EB796A" w:rsidRPr="00B66EDA" w:rsidRDefault="00A724BF" w:rsidP="00514582">
      <w:pPr>
        <w:pBdr>
          <w:bottom w:val="single" w:sz="4" w:space="1" w:color="808080"/>
        </w:pBdr>
        <w:spacing w:after="90"/>
        <w:rPr>
          <w:rFonts w:cs="Arial"/>
          <w:sz w:val="37"/>
          <w:szCs w:val="37"/>
          <w:lang w:eastAsia="en-GB"/>
        </w:rPr>
      </w:pPr>
      <w:r w:rsidRPr="00B66EDA">
        <w:rPr>
          <w:rFonts w:cs="Arial"/>
          <w:sz w:val="37"/>
          <w:szCs w:val="37"/>
          <w:lang w:eastAsia="en-GB"/>
        </w:rPr>
        <w:t>Minimum Revenue Provision Policy Statement and Annual Investment Strategy</w:t>
      </w:r>
    </w:p>
    <w:p w14:paraId="3B3C6010" w14:textId="77777777" w:rsidR="00EB796A" w:rsidRPr="00B66EDA" w:rsidRDefault="00A724BF" w:rsidP="00514582">
      <w:pPr>
        <w:ind w:left="720" w:hanging="720"/>
        <w:rPr>
          <w:rFonts w:cs="Arial"/>
          <w:sz w:val="29"/>
          <w:szCs w:val="29"/>
          <w:lang w:eastAsia="en-GB"/>
        </w:rPr>
      </w:pPr>
      <w:r w:rsidRPr="00B66EDA">
        <w:rPr>
          <w:rFonts w:cs="Arial"/>
          <w:sz w:val="29"/>
          <w:szCs w:val="29"/>
          <w:lang w:eastAsia="en-GB"/>
        </w:rPr>
        <w:t>202</w:t>
      </w:r>
      <w:r w:rsidR="00E75C31">
        <w:rPr>
          <w:rFonts w:cs="Arial"/>
          <w:sz w:val="29"/>
          <w:szCs w:val="29"/>
          <w:lang w:eastAsia="en-GB"/>
        </w:rPr>
        <w:t>3</w:t>
      </w:r>
      <w:r w:rsidRPr="00B66EDA">
        <w:rPr>
          <w:rFonts w:cs="Arial"/>
          <w:sz w:val="29"/>
          <w:szCs w:val="29"/>
          <w:lang w:eastAsia="en-GB"/>
        </w:rPr>
        <w:t>/2</w:t>
      </w:r>
      <w:r w:rsidR="00E75C31">
        <w:rPr>
          <w:rFonts w:cs="Arial"/>
          <w:sz w:val="29"/>
          <w:szCs w:val="29"/>
          <w:lang w:eastAsia="en-GB"/>
        </w:rPr>
        <w:t>4</w:t>
      </w:r>
    </w:p>
    <w:p w14:paraId="163E0DE5" w14:textId="77777777" w:rsidR="001E5AC6" w:rsidRPr="00B66EDA" w:rsidRDefault="001E5AC6" w:rsidP="00DC210F">
      <w:pPr>
        <w:ind w:left="720" w:hanging="720"/>
        <w:rPr>
          <w:rFonts w:cs="Arial"/>
          <w:color w:val="005B82"/>
          <w:sz w:val="29"/>
          <w:szCs w:val="29"/>
          <w:lang w:eastAsia="en-GB"/>
        </w:rPr>
      </w:pPr>
    </w:p>
    <w:p w14:paraId="65A7D9FD" w14:textId="77777777" w:rsidR="00EB796A" w:rsidRPr="00B66EDA" w:rsidRDefault="00A724BF" w:rsidP="00DA6E3A">
      <w:pPr>
        <w:pStyle w:val="TOC2"/>
        <w:pageBreakBefore/>
        <w:ind w:left="522" w:hanging="522"/>
        <w:rPr>
          <w:b/>
          <w:sz w:val="33"/>
          <w:szCs w:val="33"/>
        </w:rPr>
      </w:pPr>
      <w:bookmarkStart w:id="0" w:name="_Toc338666485"/>
      <w:bookmarkStart w:id="1" w:name="_Toc338669342"/>
      <w:bookmarkStart w:id="2" w:name="_Toc338666486"/>
      <w:bookmarkStart w:id="3" w:name="_Toc338669343"/>
      <w:bookmarkStart w:id="4" w:name="_Toc338666487"/>
      <w:bookmarkStart w:id="5" w:name="_Toc338669344"/>
      <w:bookmarkStart w:id="6" w:name="_Toc338666488"/>
      <w:bookmarkStart w:id="7" w:name="_Toc338669345"/>
      <w:bookmarkStart w:id="8" w:name="_Toc338666489"/>
      <w:bookmarkStart w:id="9" w:name="_Toc338669346"/>
      <w:bookmarkStart w:id="10" w:name="_Toc338666490"/>
      <w:bookmarkStart w:id="11" w:name="_Toc338669347"/>
      <w:bookmarkStart w:id="12" w:name="_Toc338666491"/>
      <w:bookmarkStart w:id="13" w:name="_Toc338669348"/>
      <w:bookmarkStart w:id="14" w:name="_Toc338666492"/>
      <w:bookmarkStart w:id="15" w:name="_Toc338669349"/>
      <w:bookmarkStart w:id="16" w:name="_Toc338666493"/>
      <w:bookmarkStart w:id="17" w:name="_Toc338669350"/>
      <w:bookmarkStart w:id="18" w:name="_Toc338666494"/>
      <w:bookmarkStart w:id="19" w:name="_Toc338669351"/>
      <w:bookmarkStart w:id="20" w:name="_Toc338666495"/>
      <w:bookmarkStart w:id="21" w:name="_Toc338669352"/>
      <w:bookmarkStart w:id="22" w:name="_Toc338666496"/>
      <w:bookmarkStart w:id="23" w:name="_Toc338669353"/>
      <w:bookmarkStart w:id="24" w:name="_Toc338666497"/>
      <w:bookmarkStart w:id="25" w:name="_Toc338669354"/>
      <w:bookmarkStart w:id="26" w:name="_Toc338666498"/>
      <w:bookmarkStart w:id="27" w:name="_Toc338669355"/>
      <w:bookmarkStart w:id="28" w:name="_Toc338666499"/>
      <w:bookmarkStart w:id="29" w:name="_Toc338669356"/>
      <w:bookmarkStart w:id="30" w:name="_Toc338666500"/>
      <w:bookmarkStart w:id="31" w:name="_Toc338669357"/>
      <w:bookmarkStart w:id="32" w:name="_Toc338666501"/>
      <w:bookmarkStart w:id="33" w:name="_Toc338669358"/>
      <w:bookmarkStart w:id="34" w:name="_Toc338666502"/>
      <w:bookmarkStart w:id="35" w:name="_Toc338669359"/>
      <w:bookmarkStart w:id="36" w:name="_Toc338666503"/>
      <w:bookmarkStart w:id="37" w:name="_Toc338669360"/>
      <w:bookmarkStart w:id="38" w:name="_Toc338666504"/>
      <w:bookmarkStart w:id="39" w:name="_Toc338669361"/>
      <w:bookmarkStart w:id="40" w:name="_Toc338666505"/>
      <w:bookmarkStart w:id="41" w:name="_Toc338669362"/>
      <w:bookmarkStart w:id="42" w:name="_Toc338666506"/>
      <w:bookmarkStart w:id="43" w:name="_Toc338669363"/>
      <w:bookmarkStart w:id="44" w:name="_Toc338666507"/>
      <w:bookmarkStart w:id="45" w:name="_Toc338669364"/>
      <w:bookmarkStart w:id="46" w:name="_Toc338666508"/>
      <w:bookmarkStart w:id="47" w:name="_Toc338669365"/>
      <w:bookmarkStart w:id="48" w:name="_Toc338666509"/>
      <w:bookmarkStart w:id="49" w:name="_Toc338669366"/>
      <w:bookmarkStart w:id="50" w:name="_Toc338666510"/>
      <w:bookmarkStart w:id="51" w:name="_Toc338669367"/>
      <w:bookmarkStart w:id="52" w:name="_Toc338666511"/>
      <w:bookmarkStart w:id="53" w:name="_Toc338669368"/>
      <w:bookmarkStart w:id="54" w:name="_Toc338666512"/>
      <w:bookmarkStart w:id="55" w:name="_Toc338669369"/>
      <w:bookmarkStart w:id="56" w:name="_Toc338666513"/>
      <w:bookmarkStart w:id="57" w:name="_Toc338669370"/>
      <w:bookmarkStart w:id="58" w:name="_Toc338666514"/>
      <w:bookmarkStart w:id="59" w:name="_Toc338669371"/>
      <w:bookmarkStart w:id="60" w:name="_Toc338666515"/>
      <w:bookmarkStart w:id="61" w:name="_Toc338669372"/>
      <w:bookmarkStart w:id="62" w:name="_Toc338666516"/>
      <w:bookmarkStart w:id="63" w:name="_Toc338669373"/>
      <w:bookmarkStart w:id="64" w:name="_Toc338666517"/>
      <w:bookmarkStart w:id="65" w:name="_Toc338669374"/>
      <w:bookmarkStart w:id="66" w:name="_Toc338666518"/>
      <w:bookmarkStart w:id="67" w:name="_Toc338669375"/>
      <w:bookmarkStart w:id="68" w:name="_Toc338666519"/>
      <w:bookmarkStart w:id="69" w:name="_Toc338669376"/>
      <w:bookmarkStart w:id="70" w:name="_Toc338666520"/>
      <w:bookmarkStart w:id="71" w:name="_Toc338669377"/>
      <w:bookmarkStart w:id="72" w:name="_Toc338666521"/>
      <w:bookmarkStart w:id="73" w:name="_Toc338669378"/>
      <w:bookmarkStart w:id="74" w:name="_Toc338666522"/>
      <w:bookmarkStart w:id="75" w:name="_Toc338669379"/>
      <w:bookmarkStart w:id="76" w:name="_Toc338666523"/>
      <w:bookmarkStart w:id="77" w:name="_Toc338669380"/>
      <w:bookmarkStart w:id="78" w:name="_Toc338666524"/>
      <w:bookmarkStart w:id="79" w:name="_Toc338669381"/>
      <w:bookmarkStart w:id="80" w:name="_Toc338666525"/>
      <w:bookmarkStart w:id="81" w:name="_Toc338669382"/>
      <w:bookmarkStart w:id="82" w:name="_Toc338666526"/>
      <w:bookmarkStart w:id="83" w:name="_Toc338669383"/>
      <w:bookmarkStart w:id="84" w:name="_Toc338666527"/>
      <w:bookmarkStart w:id="85" w:name="_Toc338669384"/>
      <w:bookmarkStart w:id="86" w:name="_Toc338666528"/>
      <w:bookmarkStart w:id="87" w:name="_Toc338669385"/>
      <w:bookmarkStart w:id="88" w:name="_Toc338666529"/>
      <w:bookmarkStart w:id="89" w:name="_Toc338669386"/>
      <w:bookmarkStart w:id="90" w:name="_Toc338666530"/>
      <w:bookmarkStart w:id="91" w:name="_Toc338669387"/>
      <w:bookmarkStart w:id="92" w:name="_Toc338666531"/>
      <w:bookmarkStart w:id="93" w:name="_Toc338669388"/>
      <w:bookmarkStart w:id="94" w:name="_Toc338666532"/>
      <w:bookmarkStart w:id="95" w:name="_Toc338669389"/>
      <w:bookmarkStart w:id="96" w:name="_Toc338666533"/>
      <w:bookmarkStart w:id="97" w:name="_Toc33866939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B66EDA">
        <w:rPr>
          <w:rFonts w:cs="Arial"/>
          <w:b/>
          <w:sz w:val="33"/>
          <w:szCs w:val="33"/>
        </w:rPr>
        <w:lastRenderedPageBreak/>
        <w:t>1.</w:t>
      </w:r>
      <w:r w:rsidRPr="00B66EDA">
        <w:rPr>
          <w:b/>
          <w:sz w:val="33"/>
          <w:szCs w:val="33"/>
        </w:rPr>
        <w:t>INTRODUCTION</w:t>
      </w:r>
    </w:p>
    <w:p w14:paraId="7362A9E8" w14:textId="77777777" w:rsidR="00EB796A" w:rsidRPr="00B66EDA" w:rsidRDefault="00A724BF" w:rsidP="00AA06DE">
      <w:pPr>
        <w:pStyle w:val="subhead"/>
        <w:rPr>
          <w:noProof w:val="0"/>
          <w:sz w:val="20"/>
          <w:szCs w:val="20"/>
        </w:rPr>
      </w:pPr>
      <w:bookmarkStart w:id="98" w:name="_Toc56008260"/>
      <w:r w:rsidRPr="00B66EDA">
        <w:rPr>
          <w:noProof w:val="0"/>
          <w:sz w:val="20"/>
          <w:szCs w:val="20"/>
        </w:rPr>
        <w:t>Background</w:t>
      </w:r>
      <w:bookmarkEnd w:id="98"/>
    </w:p>
    <w:p w14:paraId="2B1D11CF" w14:textId="77777777" w:rsidR="00EB796A" w:rsidRPr="00B66EDA" w:rsidRDefault="00A724BF" w:rsidP="00316B0A">
      <w:pPr>
        <w:tabs>
          <w:tab w:val="num" w:pos="540"/>
        </w:tabs>
        <w:jc w:val="both"/>
        <w:rPr>
          <w:rFonts w:cs="Arial"/>
        </w:rPr>
      </w:pPr>
      <w:r w:rsidRPr="00B66EDA">
        <w:rPr>
          <w:rFonts w:cs="Arial"/>
        </w:rPr>
        <w:t xml:space="preserve">The Council is required to operate a balanced budget, which broadly means that cash raised during the year will meet cash expenditure. Part of the treasury management operation is to ensure that this cash flow is adequately planned, with cash being available when it is needed.  Surplus monies are invested in </w:t>
      </w:r>
      <w:r w:rsidR="00615BDE" w:rsidRPr="00B66EDA">
        <w:rPr>
          <w:rFonts w:cs="Arial"/>
        </w:rPr>
        <w:t>low-risk</w:t>
      </w:r>
      <w:r w:rsidRPr="00B66EDA">
        <w:rPr>
          <w:rFonts w:cs="Arial"/>
        </w:rPr>
        <w:t xml:space="preserve"> counterparties or instruments commensurate with the Council’s low risk appetite, providing adequate liquidity initially before considering investment return.</w:t>
      </w:r>
    </w:p>
    <w:p w14:paraId="1540F4AA" w14:textId="77777777" w:rsidR="00EB796A" w:rsidRPr="00B66EDA" w:rsidRDefault="00EB796A" w:rsidP="00316B0A">
      <w:pPr>
        <w:tabs>
          <w:tab w:val="num" w:pos="540"/>
        </w:tabs>
        <w:jc w:val="both"/>
        <w:rPr>
          <w:rFonts w:cs="Arial"/>
        </w:rPr>
      </w:pPr>
    </w:p>
    <w:p w14:paraId="77F6D5A7" w14:textId="77777777" w:rsidR="00EB796A" w:rsidRPr="00B66EDA" w:rsidRDefault="00A724BF" w:rsidP="00316B0A">
      <w:pPr>
        <w:tabs>
          <w:tab w:val="num" w:pos="540"/>
        </w:tabs>
        <w:jc w:val="both"/>
        <w:rPr>
          <w:rFonts w:cs="Arial"/>
        </w:rPr>
      </w:pPr>
      <w:r w:rsidRPr="00B66EDA">
        <w:rPr>
          <w:rFonts w:cs="Arial"/>
        </w:rPr>
        <w:t xml:space="preserve">The second main function of the treasury management service is funding of the Council’s capital plans.  These capital plans provide a guide to the borrowing need of the Council, essentially the longer-term cash flow planning, to ensure that the Council can meet its capital spending obligations. This management of longer-term cash may involve arranging long or short-term loans or using longer-term cash flow surpluses. On occasion, when it is prudent and economic, any debt previously drawn may be restructured to meet Council risk or cost objectives. </w:t>
      </w:r>
    </w:p>
    <w:p w14:paraId="536F54D6" w14:textId="77777777" w:rsidR="007824EF" w:rsidRPr="00B66EDA" w:rsidRDefault="007824EF" w:rsidP="00316B0A">
      <w:pPr>
        <w:tabs>
          <w:tab w:val="num" w:pos="540"/>
        </w:tabs>
        <w:jc w:val="both"/>
        <w:rPr>
          <w:rFonts w:cs="Arial"/>
        </w:rPr>
      </w:pPr>
    </w:p>
    <w:p w14:paraId="7116889B" w14:textId="77777777" w:rsidR="007824EF" w:rsidRPr="00B66EDA" w:rsidRDefault="00A724BF" w:rsidP="00316B0A">
      <w:pPr>
        <w:tabs>
          <w:tab w:val="num" w:pos="540"/>
        </w:tabs>
        <w:jc w:val="both"/>
        <w:rPr>
          <w:rFonts w:cs="Arial"/>
        </w:rPr>
      </w:pPr>
      <w:r w:rsidRPr="00B66EDA">
        <w:rPr>
          <w:rFonts w:cs="Arial"/>
        </w:rPr>
        <w:t>The contribution the treasury management function makes to the authority is critical, as the balance of debt and investment operations ensure liquidity or the ability to meet spending commitments as they fall due, either on day-to-day revenue or for larger capital projects.  The treasury operations will see a balance of the interest costs of debt and the investment income arising from cash deposits affecting the available budget.  Since cash balances generally result from reserves and balances, it is paramount to ensure adequate security of the sums invested, as a loss of principal will in effect result in a loss to the General Fund Balance.</w:t>
      </w:r>
    </w:p>
    <w:p w14:paraId="08838D9C" w14:textId="77777777" w:rsidR="00EB796A" w:rsidRPr="00B66EDA" w:rsidRDefault="00EB796A" w:rsidP="00316B0A">
      <w:pPr>
        <w:tabs>
          <w:tab w:val="num" w:pos="540"/>
        </w:tabs>
        <w:jc w:val="both"/>
        <w:rPr>
          <w:rFonts w:cs="Arial"/>
        </w:rPr>
      </w:pPr>
    </w:p>
    <w:p w14:paraId="39DC5158" w14:textId="77777777" w:rsidR="00EB796A" w:rsidRPr="00B66EDA" w:rsidRDefault="00A724BF" w:rsidP="00316B0A">
      <w:pPr>
        <w:tabs>
          <w:tab w:val="num" w:pos="540"/>
        </w:tabs>
        <w:jc w:val="both"/>
        <w:rPr>
          <w:rFonts w:cs="Arial"/>
        </w:rPr>
      </w:pPr>
      <w:r w:rsidRPr="00B66EDA">
        <w:rPr>
          <w:rFonts w:cs="Arial"/>
        </w:rPr>
        <w:t>CIPFA defines treasury management as:</w:t>
      </w:r>
    </w:p>
    <w:p w14:paraId="5429753C" w14:textId="77777777" w:rsidR="00EB796A" w:rsidRPr="00B66EDA" w:rsidRDefault="00A724BF" w:rsidP="0084501B">
      <w:pPr>
        <w:tabs>
          <w:tab w:val="num" w:pos="540"/>
        </w:tabs>
        <w:ind w:left="360"/>
        <w:jc w:val="both"/>
        <w:rPr>
          <w:rFonts w:cs="Arial"/>
          <w:i/>
        </w:rPr>
      </w:pPr>
      <w:r w:rsidRPr="00B66EDA">
        <w:rPr>
          <w:rFonts w:cs="Arial"/>
        </w:rPr>
        <w:br/>
      </w:r>
      <w:r w:rsidRPr="00B66EDA">
        <w:rPr>
          <w:rFonts w:cs="Arial"/>
          <w:i/>
        </w:rPr>
        <w:t>“The management of the local authority’s borrowing, investments and cash flows, its banking, money market and capital market transactions; the effective control of the risks associated with those activities; and the pursuit of optimum performance consistent with those risks.”</w:t>
      </w:r>
    </w:p>
    <w:p w14:paraId="55835796" w14:textId="77777777" w:rsidR="00E75C31" w:rsidRPr="00B66EDA" w:rsidRDefault="00E75C31" w:rsidP="00E75C31">
      <w:pPr>
        <w:tabs>
          <w:tab w:val="num" w:pos="540"/>
        </w:tabs>
        <w:jc w:val="both"/>
        <w:rPr>
          <w:rFonts w:cs="Arial"/>
        </w:rPr>
      </w:pPr>
    </w:p>
    <w:p w14:paraId="2AC3F8B3" w14:textId="77777777" w:rsidR="00E75C31" w:rsidRPr="00B66EDA" w:rsidRDefault="00A724BF" w:rsidP="00E75C31">
      <w:pPr>
        <w:tabs>
          <w:tab w:val="num" w:pos="540"/>
        </w:tabs>
        <w:jc w:val="both"/>
        <w:rPr>
          <w:rFonts w:cs="Arial"/>
        </w:rPr>
      </w:pPr>
      <w:r w:rsidRPr="00B66EDA">
        <w:rPr>
          <w:rFonts w:cs="Arial"/>
        </w:rPr>
        <w:t>Whilst any commercial initiatives or loans to third parties will impact on the treasury function, these activities are generally classed as non-treasury activities, (arising usually from capital expenditure), and are separate from the day-to-day treasury management activities.</w:t>
      </w:r>
    </w:p>
    <w:p w14:paraId="3B28B163" w14:textId="77777777" w:rsidR="00EB796A" w:rsidRPr="00B66EDA" w:rsidRDefault="00EB796A" w:rsidP="000F4D6A">
      <w:pPr>
        <w:pStyle w:val="BodyText"/>
        <w:jc w:val="both"/>
        <w:rPr>
          <w:rFonts w:ascii="Arial" w:hAnsi="Arial" w:cs="Arial"/>
          <w:sz w:val="20"/>
          <w:szCs w:val="20"/>
          <w:lang w:val="en-GB"/>
        </w:rPr>
      </w:pPr>
    </w:p>
    <w:p w14:paraId="2329EBF2" w14:textId="77777777" w:rsidR="00EB796A" w:rsidRPr="00B66EDA" w:rsidRDefault="00A724BF" w:rsidP="00AA06DE">
      <w:pPr>
        <w:pStyle w:val="subhead"/>
        <w:rPr>
          <w:noProof w:val="0"/>
          <w:sz w:val="20"/>
          <w:szCs w:val="20"/>
        </w:rPr>
      </w:pPr>
      <w:bookmarkStart w:id="99" w:name="_Toc56008261"/>
      <w:r w:rsidRPr="00B66EDA">
        <w:rPr>
          <w:noProof w:val="0"/>
          <w:sz w:val="20"/>
          <w:szCs w:val="20"/>
        </w:rPr>
        <w:t>Reporting requirements</w:t>
      </w:r>
      <w:bookmarkEnd w:id="99"/>
    </w:p>
    <w:p w14:paraId="1A4D799C" w14:textId="77777777" w:rsidR="000613D3" w:rsidRPr="00B66EDA" w:rsidRDefault="00A724BF" w:rsidP="000613D3">
      <w:pPr>
        <w:pStyle w:val="BodyText"/>
        <w:jc w:val="both"/>
        <w:rPr>
          <w:rFonts w:ascii="Arial" w:hAnsi="Arial" w:cs="Arial"/>
          <w:b/>
          <w:sz w:val="20"/>
          <w:szCs w:val="20"/>
          <w:lang w:val="en-GB"/>
        </w:rPr>
      </w:pPr>
      <w:r w:rsidRPr="00B66EDA">
        <w:rPr>
          <w:rFonts w:ascii="Arial" w:hAnsi="Arial" w:cs="Arial"/>
          <w:b/>
          <w:sz w:val="20"/>
          <w:szCs w:val="20"/>
          <w:lang w:val="en-GB"/>
        </w:rPr>
        <w:t>1.2.1 Capital Strategy</w:t>
      </w:r>
    </w:p>
    <w:p w14:paraId="293F0F38" w14:textId="77777777" w:rsidR="00BC749D" w:rsidRPr="00B66EDA" w:rsidRDefault="00BC749D" w:rsidP="000613D3">
      <w:pPr>
        <w:pStyle w:val="BodyText"/>
        <w:jc w:val="both"/>
        <w:rPr>
          <w:rFonts w:ascii="Arial" w:hAnsi="Arial" w:cs="Arial"/>
          <w:b/>
          <w:sz w:val="20"/>
          <w:szCs w:val="20"/>
          <w:lang w:val="en-GB"/>
        </w:rPr>
      </w:pPr>
    </w:p>
    <w:p w14:paraId="73379E00" w14:textId="77777777" w:rsidR="000613D3" w:rsidRPr="00B66EDA" w:rsidRDefault="00A724BF" w:rsidP="000613D3">
      <w:pPr>
        <w:pStyle w:val="BodyText"/>
        <w:jc w:val="both"/>
        <w:rPr>
          <w:rFonts w:ascii="Arial" w:hAnsi="Arial" w:cs="Arial"/>
          <w:sz w:val="20"/>
          <w:szCs w:val="20"/>
        </w:rPr>
      </w:pPr>
      <w:r w:rsidRPr="00B66EDA">
        <w:rPr>
          <w:rFonts w:ascii="Arial" w:hAnsi="Arial" w:cs="Arial"/>
          <w:sz w:val="20"/>
          <w:szCs w:val="20"/>
          <w:lang w:val="en-GB"/>
        </w:rPr>
        <w:t xml:space="preserve">The CIPFA </w:t>
      </w:r>
      <w:r w:rsidR="00E75C31">
        <w:rPr>
          <w:rFonts w:ascii="Arial" w:hAnsi="Arial" w:cs="Arial"/>
          <w:sz w:val="20"/>
          <w:szCs w:val="20"/>
          <w:lang w:val="en-GB"/>
        </w:rPr>
        <w:t>2021</w:t>
      </w:r>
      <w:r w:rsidRPr="00B66EDA">
        <w:rPr>
          <w:rFonts w:ascii="Arial" w:hAnsi="Arial" w:cs="Arial"/>
          <w:sz w:val="20"/>
          <w:szCs w:val="20"/>
          <w:lang w:val="en-GB"/>
        </w:rPr>
        <w:t xml:space="preserve"> Prudential and Treasury Management Codes require all local authorities to prepare a capital strategy report which will provide the following: </w:t>
      </w:r>
    </w:p>
    <w:p w14:paraId="37B54ADB" w14:textId="77777777" w:rsidR="000613D3" w:rsidRPr="00B66EDA" w:rsidRDefault="00A724BF" w:rsidP="00CF69B5">
      <w:pPr>
        <w:pStyle w:val="BodyText"/>
        <w:numPr>
          <w:ilvl w:val="0"/>
          <w:numId w:val="15"/>
        </w:numPr>
        <w:jc w:val="both"/>
        <w:rPr>
          <w:rFonts w:ascii="Arial" w:hAnsi="Arial" w:cs="Arial"/>
          <w:sz w:val="20"/>
          <w:szCs w:val="20"/>
        </w:rPr>
      </w:pPr>
      <w:r w:rsidRPr="00B66EDA">
        <w:rPr>
          <w:rFonts w:ascii="Arial" w:hAnsi="Arial" w:cs="Arial"/>
          <w:sz w:val="20"/>
          <w:szCs w:val="20"/>
          <w:lang w:val="en-GB"/>
        </w:rPr>
        <w:t>a high-level</w:t>
      </w:r>
      <w:r w:rsidR="00615BDE">
        <w:rPr>
          <w:rFonts w:ascii="Arial" w:hAnsi="Arial" w:cs="Arial"/>
          <w:sz w:val="20"/>
          <w:szCs w:val="20"/>
          <w:lang w:val="en-GB"/>
        </w:rPr>
        <w:t>,</w:t>
      </w:r>
      <w:r w:rsidRPr="00B66EDA">
        <w:rPr>
          <w:rFonts w:ascii="Arial" w:hAnsi="Arial" w:cs="Arial"/>
          <w:sz w:val="20"/>
          <w:szCs w:val="20"/>
          <w:lang w:val="en-GB"/>
        </w:rPr>
        <w:t xml:space="preserve"> </w:t>
      </w:r>
      <w:r w:rsidR="00615BDE" w:rsidRPr="00B66EDA">
        <w:rPr>
          <w:rFonts w:ascii="Arial" w:hAnsi="Arial" w:cs="Arial"/>
          <w:sz w:val="20"/>
          <w:szCs w:val="20"/>
          <w:lang w:val="en-GB"/>
        </w:rPr>
        <w:t>long-term</w:t>
      </w:r>
      <w:r w:rsidRPr="00B66EDA">
        <w:rPr>
          <w:rFonts w:ascii="Arial" w:hAnsi="Arial" w:cs="Arial"/>
          <w:sz w:val="20"/>
          <w:szCs w:val="20"/>
          <w:lang w:val="en-GB"/>
        </w:rPr>
        <w:t xml:space="preserve"> overview of how capital expenditure, capital financing and treasury management activity contribute to the provision of services</w:t>
      </w:r>
    </w:p>
    <w:p w14:paraId="410579EB" w14:textId="77777777" w:rsidR="000613D3" w:rsidRPr="00B66EDA" w:rsidRDefault="00A724BF" w:rsidP="00CF69B5">
      <w:pPr>
        <w:pStyle w:val="BodyText"/>
        <w:numPr>
          <w:ilvl w:val="0"/>
          <w:numId w:val="15"/>
        </w:numPr>
        <w:jc w:val="both"/>
        <w:rPr>
          <w:rFonts w:ascii="Arial" w:hAnsi="Arial" w:cs="Arial"/>
          <w:sz w:val="20"/>
          <w:szCs w:val="20"/>
        </w:rPr>
      </w:pPr>
      <w:r w:rsidRPr="00B66EDA">
        <w:rPr>
          <w:rFonts w:ascii="Arial" w:hAnsi="Arial" w:cs="Arial"/>
          <w:sz w:val="20"/>
          <w:szCs w:val="20"/>
          <w:lang w:val="en-GB"/>
        </w:rPr>
        <w:t>an overview of how the associated risk is managed</w:t>
      </w:r>
    </w:p>
    <w:p w14:paraId="0A22F55B" w14:textId="77777777" w:rsidR="000613D3" w:rsidRPr="00B66EDA" w:rsidRDefault="00A724BF" w:rsidP="00CF69B5">
      <w:pPr>
        <w:pStyle w:val="BodyText"/>
        <w:numPr>
          <w:ilvl w:val="0"/>
          <w:numId w:val="15"/>
        </w:numPr>
        <w:jc w:val="both"/>
        <w:rPr>
          <w:rFonts w:ascii="Arial" w:hAnsi="Arial" w:cs="Arial"/>
          <w:sz w:val="20"/>
          <w:szCs w:val="20"/>
        </w:rPr>
      </w:pPr>
      <w:r w:rsidRPr="00B66EDA">
        <w:rPr>
          <w:rFonts w:ascii="Arial" w:hAnsi="Arial" w:cs="Arial"/>
          <w:sz w:val="20"/>
          <w:szCs w:val="20"/>
          <w:lang w:val="en-GB"/>
        </w:rPr>
        <w:t>the implications for future financial sustainability</w:t>
      </w:r>
    </w:p>
    <w:p w14:paraId="7A2B5462" w14:textId="77777777" w:rsidR="000613D3" w:rsidRPr="00B66EDA" w:rsidRDefault="000613D3" w:rsidP="000613D3">
      <w:pPr>
        <w:pStyle w:val="BodyText"/>
        <w:jc w:val="both"/>
        <w:rPr>
          <w:rFonts w:ascii="Arial" w:hAnsi="Arial" w:cs="Arial"/>
          <w:sz w:val="20"/>
          <w:szCs w:val="20"/>
          <w:lang w:val="en-GB"/>
        </w:rPr>
      </w:pPr>
    </w:p>
    <w:p w14:paraId="6B5139DF" w14:textId="77777777" w:rsidR="000613D3" w:rsidRPr="00B66EDA" w:rsidRDefault="00A724BF" w:rsidP="000613D3">
      <w:pPr>
        <w:pStyle w:val="BodyText"/>
        <w:jc w:val="both"/>
        <w:rPr>
          <w:rFonts w:ascii="Arial" w:hAnsi="Arial" w:cs="Arial"/>
          <w:sz w:val="20"/>
          <w:szCs w:val="20"/>
        </w:rPr>
      </w:pPr>
      <w:r w:rsidRPr="00B66EDA">
        <w:rPr>
          <w:rFonts w:ascii="Arial" w:hAnsi="Arial" w:cs="Arial"/>
          <w:sz w:val="20"/>
          <w:szCs w:val="20"/>
          <w:lang w:val="en-GB"/>
        </w:rPr>
        <w:t>The aim of th</w:t>
      </w:r>
      <w:r w:rsidR="006B7D03">
        <w:rPr>
          <w:rFonts w:ascii="Arial" w:hAnsi="Arial" w:cs="Arial"/>
          <w:sz w:val="20"/>
          <w:szCs w:val="20"/>
          <w:lang w:val="en-GB"/>
        </w:rPr>
        <w:t>e</w:t>
      </w:r>
      <w:r w:rsidRPr="00B66EDA">
        <w:rPr>
          <w:rFonts w:ascii="Arial" w:hAnsi="Arial" w:cs="Arial"/>
          <w:sz w:val="20"/>
          <w:szCs w:val="20"/>
          <w:lang w:val="en-GB"/>
        </w:rPr>
        <w:t xml:space="preserve"> capital strategy is to ensure that all elected members on the full council fully understand the overall long-term policy objectives and resulting capital strategy requirements, governance procedures and risk appetite.</w:t>
      </w:r>
    </w:p>
    <w:p w14:paraId="26260D09" w14:textId="77777777" w:rsidR="000613D3" w:rsidRPr="00B66EDA" w:rsidRDefault="000613D3" w:rsidP="000613D3">
      <w:pPr>
        <w:jc w:val="both"/>
        <w:rPr>
          <w:rFonts w:cs="Arial"/>
          <w:spacing w:val="0"/>
        </w:rPr>
      </w:pPr>
    </w:p>
    <w:p w14:paraId="1CCED0D6" w14:textId="77777777" w:rsidR="00542A9C" w:rsidRPr="00702114" w:rsidRDefault="00A724BF" w:rsidP="006B7D03">
      <w:pPr>
        <w:jc w:val="both"/>
        <w:rPr>
          <w:rFonts w:cs="Arial"/>
        </w:rPr>
      </w:pPr>
      <w:r w:rsidRPr="00702114">
        <w:rPr>
          <w:rFonts w:cs="Arial"/>
          <w:spacing w:val="0"/>
        </w:rPr>
        <w:t>Th</w:t>
      </w:r>
      <w:r w:rsidR="006B7D03">
        <w:rPr>
          <w:rFonts w:cs="Arial"/>
          <w:spacing w:val="0"/>
        </w:rPr>
        <w:t>e</w:t>
      </w:r>
      <w:r w:rsidRPr="00702114">
        <w:rPr>
          <w:rFonts w:cs="Arial"/>
          <w:spacing w:val="0"/>
        </w:rPr>
        <w:t xml:space="preserve"> capital strategy is reported separately from th</w:t>
      </w:r>
      <w:r w:rsidR="006B7D03">
        <w:rPr>
          <w:rFonts w:cs="Arial"/>
          <w:spacing w:val="0"/>
        </w:rPr>
        <w:t>is</w:t>
      </w:r>
      <w:r w:rsidRPr="00702114">
        <w:rPr>
          <w:rFonts w:cs="Arial"/>
          <w:spacing w:val="0"/>
        </w:rPr>
        <w:t xml:space="preserve"> Treasury Management Strategy Statement</w:t>
      </w:r>
      <w:r w:rsidR="006B7D03">
        <w:rPr>
          <w:rFonts w:cs="Arial"/>
          <w:spacing w:val="0"/>
        </w:rPr>
        <w:t>.</w:t>
      </w:r>
    </w:p>
    <w:p w14:paraId="452E6EEB" w14:textId="77777777" w:rsidR="00542A9C" w:rsidRPr="00702114" w:rsidRDefault="00542A9C" w:rsidP="00542A9C">
      <w:pPr>
        <w:jc w:val="both"/>
        <w:rPr>
          <w:rFonts w:cs="Arial"/>
        </w:rPr>
      </w:pPr>
    </w:p>
    <w:p w14:paraId="21620AA9" w14:textId="77777777" w:rsidR="000613D3" w:rsidRPr="00B66EDA" w:rsidRDefault="00A724BF" w:rsidP="000F4D6A">
      <w:pPr>
        <w:pStyle w:val="BodyText"/>
        <w:jc w:val="both"/>
        <w:rPr>
          <w:rFonts w:ascii="Arial" w:hAnsi="Arial" w:cs="Arial"/>
          <w:b/>
          <w:sz w:val="20"/>
          <w:szCs w:val="20"/>
          <w:lang w:val="en-GB"/>
        </w:rPr>
      </w:pPr>
      <w:r w:rsidRPr="00B66EDA">
        <w:rPr>
          <w:rFonts w:ascii="Arial" w:hAnsi="Arial" w:cs="Arial"/>
          <w:b/>
          <w:sz w:val="20"/>
          <w:szCs w:val="20"/>
          <w:lang w:val="en-GB"/>
        </w:rPr>
        <w:t>1.2.2 Treasury Management reporting</w:t>
      </w:r>
    </w:p>
    <w:p w14:paraId="493FAE57" w14:textId="77777777" w:rsidR="000613D3" w:rsidRPr="00B66EDA" w:rsidRDefault="000613D3" w:rsidP="000F4D6A">
      <w:pPr>
        <w:pStyle w:val="BodyText"/>
        <w:jc w:val="both"/>
        <w:rPr>
          <w:rFonts w:ascii="Arial" w:hAnsi="Arial" w:cs="Arial"/>
          <w:sz w:val="20"/>
          <w:szCs w:val="20"/>
          <w:lang w:val="en-GB"/>
        </w:rPr>
      </w:pPr>
    </w:p>
    <w:p w14:paraId="2B101B3F" w14:textId="77777777" w:rsidR="00EB796A" w:rsidRPr="00B66EDA" w:rsidRDefault="00A724BF" w:rsidP="000F4D6A">
      <w:pPr>
        <w:pStyle w:val="BodyText"/>
        <w:jc w:val="both"/>
        <w:rPr>
          <w:rFonts w:ascii="Arial" w:hAnsi="Arial" w:cs="Arial"/>
          <w:sz w:val="20"/>
          <w:szCs w:val="20"/>
          <w:lang w:val="en-GB"/>
        </w:rPr>
      </w:pPr>
      <w:r w:rsidRPr="00B66EDA">
        <w:rPr>
          <w:rFonts w:ascii="Arial" w:hAnsi="Arial" w:cs="Arial"/>
          <w:sz w:val="20"/>
          <w:szCs w:val="20"/>
          <w:lang w:val="en-GB"/>
        </w:rPr>
        <w:t xml:space="preserve">The Council is currently required to receive and approve, as a minimum, three main treasury reports each year, which incorporate a variety of policies, estimates and actuals.  </w:t>
      </w:r>
    </w:p>
    <w:p w14:paraId="23F1F8FC" w14:textId="77777777" w:rsidR="00EB796A" w:rsidRPr="00B66EDA" w:rsidRDefault="00EB796A" w:rsidP="000F4D6A">
      <w:pPr>
        <w:pStyle w:val="BodyText"/>
        <w:jc w:val="both"/>
        <w:rPr>
          <w:rFonts w:ascii="Arial" w:hAnsi="Arial" w:cs="Arial"/>
          <w:b/>
          <w:sz w:val="20"/>
          <w:szCs w:val="20"/>
          <w:lang w:val="en-GB"/>
        </w:rPr>
      </w:pPr>
    </w:p>
    <w:p w14:paraId="14E99EC3" w14:textId="77777777" w:rsidR="00EB796A" w:rsidRPr="00B66EDA" w:rsidRDefault="00A724BF" w:rsidP="00CF69B5">
      <w:pPr>
        <w:pStyle w:val="BodyText"/>
        <w:numPr>
          <w:ilvl w:val="0"/>
          <w:numId w:val="20"/>
        </w:numPr>
        <w:jc w:val="both"/>
        <w:rPr>
          <w:rFonts w:ascii="Arial" w:hAnsi="Arial" w:cs="Arial"/>
          <w:sz w:val="20"/>
          <w:szCs w:val="20"/>
          <w:lang w:val="en-GB"/>
        </w:rPr>
      </w:pPr>
      <w:r w:rsidRPr="00B66EDA">
        <w:rPr>
          <w:rFonts w:ascii="Arial" w:hAnsi="Arial" w:cs="Arial"/>
          <w:b/>
          <w:sz w:val="20"/>
          <w:szCs w:val="20"/>
          <w:lang w:val="en-GB"/>
        </w:rPr>
        <w:lastRenderedPageBreak/>
        <w:t>Prudential and treasury indicators and treasury strategy</w:t>
      </w:r>
      <w:r w:rsidRPr="00B66EDA">
        <w:rPr>
          <w:rFonts w:ascii="Arial" w:hAnsi="Arial" w:cs="Arial"/>
          <w:sz w:val="20"/>
          <w:szCs w:val="20"/>
          <w:lang w:val="en-GB"/>
        </w:rPr>
        <w:t xml:space="preserve"> (this report) - The first, and most important report is forward looking and covers:</w:t>
      </w:r>
    </w:p>
    <w:p w14:paraId="617C4FB1" w14:textId="77777777" w:rsidR="00EB796A" w:rsidRPr="00B66EDA" w:rsidRDefault="00A724BF" w:rsidP="008D10FF">
      <w:pPr>
        <w:numPr>
          <w:ilvl w:val="0"/>
          <w:numId w:val="1"/>
        </w:numPr>
        <w:spacing w:before="45" w:after="45"/>
        <w:ind w:left="930" w:hanging="285"/>
        <w:jc w:val="both"/>
        <w:rPr>
          <w:rFonts w:cs="Arial"/>
        </w:rPr>
      </w:pPr>
      <w:r w:rsidRPr="00B66EDA">
        <w:rPr>
          <w:rFonts w:cs="Arial"/>
        </w:rPr>
        <w:t>the capital plans, (including prudential indicators</w:t>
      </w:r>
      <w:proofErr w:type="gramStart"/>
      <w:r w:rsidRPr="00B66EDA">
        <w:rPr>
          <w:rFonts w:cs="Arial"/>
        </w:rPr>
        <w:t>);</w:t>
      </w:r>
      <w:proofErr w:type="gramEnd"/>
    </w:p>
    <w:p w14:paraId="790A239F" w14:textId="77777777" w:rsidR="00EB796A" w:rsidRPr="00B66EDA" w:rsidRDefault="00A724BF" w:rsidP="008D10FF">
      <w:pPr>
        <w:numPr>
          <w:ilvl w:val="0"/>
          <w:numId w:val="1"/>
        </w:numPr>
        <w:spacing w:before="45" w:after="45"/>
        <w:ind w:left="930" w:hanging="285"/>
        <w:jc w:val="both"/>
        <w:rPr>
          <w:rFonts w:cs="Arial"/>
        </w:rPr>
      </w:pPr>
      <w:r w:rsidRPr="00B66EDA">
        <w:rPr>
          <w:rFonts w:cs="Arial"/>
        </w:rPr>
        <w:t>a minimum revenue provision (MRP) policy, (how residual capital expenditure is charged to revenue over time</w:t>
      </w:r>
      <w:proofErr w:type="gramStart"/>
      <w:r w:rsidRPr="00B66EDA">
        <w:rPr>
          <w:rFonts w:cs="Arial"/>
        </w:rPr>
        <w:t>);</w:t>
      </w:r>
      <w:proofErr w:type="gramEnd"/>
    </w:p>
    <w:p w14:paraId="1505814D" w14:textId="77777777" w:rsidR="00EB796A" w:rsidRPr="00B66EDA" w:rsidRDefault="00A724BF" w:rsidP="008D10FF">
      <w:pPr>
        <w:numPr>
          <w:ilvl w:val="0"/>
          <w:numId w:val="1"/>
        </w:numPr>
        <w:spacing w:before="45" w:after="45"/>
        <w:ind w:left="930" w:hanging="285"/>
        <w:jc w:val="both"/>
        <w:rPr>
          <w:rFonts w:cs="Arial"/>
        </w:rPr>
      </w:pPr>
      <w:r w:rsidRPr="00B66EDA">
        <w:rPr>
          <w:rFonts w:cs="Arial"/>
        </w:rPr>
        <w:t xml:space="preserve">the treasury management strategy, (how the investments and borrowings are to be organised), including treasury indicators; and </w:t>
      </w:r>
    </w:p>
    <w:p w14:paraId="0F3E283D" w14:textId="77777777" w:rsidR="00EB796A" w:rsidRPr="00B66EDA" w:rsidRDefault="00A724BF" w:rsidP="008D10FF">
      <w:pPr>
        <w:numPr>
          <w:ilvl w:val="0"/>
          <w:numId w:val="1"/>
        </w:numPr>
        <w:spacing w:before="45" w:after="45"/>
        <w:ind w:left="930" w:hanging="285"/>
        <w:jc w:val="both"/>
        <w:rPr>
          <w:rFonts w:cs="Arial"/>
        </w:rPr>
      </w:pPr>
      <w:r w:rsidRPr="00B66EDA">
        <w:rPr>
          <w:rFonts w:cs="Arial"/>
        </w:rPr>
        <w:t xml:space="preserve">an </w:t>
      </w:r>
      <w:r w:rsidR="006B7D03">
        <w:rPr>
          <w:rFonts w:cs="Arial"/>
        </w:rPr>
        <w:t xml:space="preserve">annual </w:t>
      </w:r>
      <w:r w:rsidRPr="00B66EDA">
        <w:rPr>
          <w:rFonts w:cs="Arial"/>
        </w:rPr>
        <w:t>investment strategy, (the parameters on how investments are to be managed).</w:t>
      </w:r>
    </w:p>
    <w:p w14:paraId="5E9A67A7" w14:textId="77777777" w:rsidR="00EB796A" w:rsidRPr="00B66EDA" w:rsidRDefault="00EB796A" w:rsidP="000F4D6A">
      <w:pPr>
        <w:pStyle w:val="BodyText"/>
        <w:jc w:val="both"/>
        <w:rPr>
          <w:rFonts w:ascii="Arial" w:hAnsi="Arial" w:cs="Arial"/>
          <w:sz w:val="20"/>
          <w:szCs w:val="20"/>
          <w:lang w:val="en-GB"/>
        </w:rPr>
      </w:pPr>
    </w:p>
    <w:p w14:paraId="6487540C" w14:textId="77777777" w:rsidR="00EB796A" w:rsidRPr="00B66EDA" w:rsidRDefault="00A724BF" w:rsidP="00CF69B5">
      <w:pPr>
        <w:pStyle w:val="BodyText"/>
        <w:numPr>
          <w:ilvl w:val="0"/>
          <w:numId w:val="20"/>
        </w:numPr>
        <w:jc w:val="both"/>
        <w:rPr>
          <w:rFonts w:ascii="Arial" w:hAnsi="Arial" w:cs="Arial"/>
          <w:sz w:val="20"/>
          <w:szCs w:val="20"/>
          <w:lang w:val="en-GB"/>
        </w:rPr>
      </w:pPr>
      <w:r w:rsidRPr="00B66EDA">
        <w:rPr>
          <w:rFonts w:ascii="Arial" w:hAnsi="Arial" w:cs="Arial"/>
          <w:b/>
          <w:sz w:val="20"/>
          <w:szCs w:val="20"/>
          <w:lang w:val="en-GB"/>
        </w:rPr>
        <w:t>A mid-year treasury management report</w:t>
      </w:r>
      <w:r w:rsidRPr="00B66EDA">
        <w:rPr>
          <w:rFonts w:ascii="Arial" w:hAnsi="Arial" w:cs="Arial"/>
          <w:sz w:val="20"/>
          <w:szCs w:val="20"/>
          <w:lang w:val="en-GB"/>
        </w:rPr>
        <w:t xml:space="preserve"> (presented to </w:t>
      </w:r>
      <w:r w:rsidR="007E15CF">
        <w:rPr>
          <w:rFonts w:ascii="Arial" w:hAnsi="Arial" w:cs="Arial"/>
          <w:sz w:val="20"/>
          <w:szCs w:val="20"/>
          <w:lang w:val="en-GB"/>
        </w:rPr>
        <w:t>Audit &amp; Scrutiny Committee</w:t>
      </w:r>
      <w:r w:rsidRPr="00B66EDA">
        <w:rPr>
          <w:rFonts w:ascii="Arial" w:hAnsi="Arial" w:cs="Arial"/>
          <w:sz w:val="20"/>
          <w:szCs w:val="20"/>
          <w:lang w:val="en-GB"/>
        </w:rPr>
        <w:t>) – This is primarily a progress report and will update members on the capital position, amending prudential indicators as necessary, and whether any policies require revision.</w:t>
      </w:r>
    </w:p>
    <w:p w14:paraId="36B03D28" w14:textId="77777777" w:rsidR="00EB796A" w:rsidRPr="00B66EDA" w:rsidRDefault="00EB796A" w:rsidP="000F4D6A">
      <w:pPr>
        <w:pStyle w:val="BodyText"/>
        <w:jc w:val="both"/>
        <w:rPr>
          <w:rFonts w:ascii="Arial" w:hAnsi="Arial" w:cs="Arial"/>
          <w:sz w:val="20"/>
          <w:szCs w:val="20"/>
          <w:lang w:val="en-GB"/>
        </w:rPr>
      </w:pPr>
    </w:p>
    <w:p w14:paraId="2226F77B" w14:textId="77777777" w:rsidR="00EB796A" w:rsidRPr="00B66EDA" w:rsidRDefault="00A724BF" w:rsidP="00CF69B5">
      <w:pPr>
        <w:pStyle w:val="BodyText"/>
        <w:numPr>
          <w:ilvl w:val="0"/>
          <w:numId w:val="20"/>
        </w:numPr>
        <w:jc w:val="both"/>
        <w:rPr>
          <w:rFonts w:ascii="Arial" w:hAnsi="Arial" w:cs="Arial"/>
          <w:sz w:val="20"/>
          <w:szCs w:val="20"/>
          <w:lang w:val="en-GB"/>
        </w:rPr>
      </w:pPr>
      <w:r w:rsidRPr="00B66EDA">
        <w:rPr>
          <w:rFonts w:ascii="Arial" w:hAnsi="Arial" w:cs="Arial"/>
          <w:b/>
          <w:sz w:val="20"/>
          <w:szCs w:val="20"/>
          <w:lang w:val="en-GB"/>
        </w:rPr>
        <w:t>An annual treasury report</w:t>
      </w:r>
      <w:r w:rsidRPr="00B66EDA">
        <w:rPr>
          <w:rFonts w:ascii="Arial" w:hAnsi="Arial" w:cs="Arial"/>
          <w:sz w:val="20"/>
          <w:szCs w:val="20"/>
          <w:lang w:val="en-GB"/>
        </w:rPr>
        <w:t xml:space="preserve"> (</w:t>
      </w:r>
      <w:r w:rsidR="007E15CF" w:rsidRPr="00B66EDA">
        <w:rPr>
          <w:rFonts w:ascii="Arial" w:hAnsi="Arial" w:cs="Arial"/>
          <w:sz w:val="20"/>
          <w:szCs w:val="20"/>
          <w:lang w:val="en-GB"/>
        </w:rPr>
        <w:t xml:space="preserve">presented to </w:t>
      </w:r>
      <w:r w:rsidR="007E15CF">
        <w:rPr>
          <w:rFonts w:ascii="Arial" w:hAnsi="Arial" w:cs="Arial"/>
          <w:sz w:val="20"/>
          <w:szCs w:val="20"/>
          <w:lang w:val="en-GB"/>
        </w:rPr>
        <w:t xml:space="preserve">Audit </w:t>
      </w:r>
      <w:r w:rsidR="006769FA">
        <w:rPr>
          <w:rFonts w:ascii="Arial" w:hAnsi="Arial" w:cs="Arial"/>
          <w:sz w:val="20"/>
          <w:szCs w:val="20"/>
          <w:lang w:val="en-GB"/>
        </w:rPr>
        <w:t>and</w:t>
      </w:r>
      <w:r w:rsidR="007E15CF">
        <w:rPr>
          <w:rFonts w:ascii="Arial" w:hAnsi="Arial" w:cs="Arial"/>
          <w:sz w:val="20"/>
          <w:szCs w:val="20"/>
          <w:lang w:val="en-GB"/>
        </w:rPr>
        <w:t xml:space="preserve"> Scrutiny Committee</w:t>
      </w:r>
      <w:r w:rsidRPr="00B66EDA">
        <w:rPr>
          <w:rFonts w:ascii="Arial" w:hAnsi="Arial" w:cs="Arial"/>
          <w:sz w:val="20"/>
          <w:szCs w:val="20"/>
          <w:lang w:val="en-GB"/>
        </w:rPr>
        <w:t xml:space="preserve">) – This is a </w:t>
      </w:r>
      <w:r w:rsidR="00DE164B" w:rsidRPr="00B66EDA">
        <w:rPr>
          <w:rFonts w:ascii="Arial" w:hAnsi="Arial" w:cs="Arial"/>
          <w:sz w:val="20"/>
          <w:szCs w:val="20"/>
          <w:lang w:val="en-GB"/>
        </w:rPr>
        <w:t>backward-looking</w:t>
      </w:r>
      <w:r w:rsidRPr="00B66EDA">
        <w:rPr>
          <w:rFonts w:ascii="Arial" w:hAnsi="Arial" w:cs="Arial"/>
          <w:sz w:val="20"/>
          <w:szCs w:val="20"/>
          <w:lang w:val="en-GB"/>
        </w:rPr>
        <w:t xml:space="preserve"> review document and provides details of a selection of actual prudential and treasury indicators and actual treasury operations compared to the estimates within the strategy.</w:t>
      </w:r>
    </w:p>
    <w:p w14:paraId="4BF0FC41" w14:textId="77777777" w:rsidR="004A32A5" w:rsidRPr="00B66EDA" w:rsidRDefault="004A32A5" w:rsidP="004A32A5">
      <w:pPr>
        <w:pStyle w:val="ListParagraph"/>
        <w:rPr>
          <w:rFonts w:ascii="Arial" w:hAnsi="Arial" w:cs="Arial"/>
          <w:sz w:val="20"/>
          <w:szCs w:val="20"/>
        </w:rPr>
      </w:pPr>
    </w:p>
    <w:p w14:paraId="770A29E5" w14:textId="77777777" w:rsidR="004A32A5" w:rsidRPr="00B66EDA" w:rsidRDefault="00A724BF" w:rsidP="004A32A5">
      <w:pPr>
        <w:pStyle w:val="BodyText"/>
        <w:jc w:val="both"/>
        <w:rPr>
          <w:rFonts w:ascii="Arial" w:hAnsi="Arial" w:cs="Arial"/>
          <w:b/>
          <w:sz w:val="20"/>
          <w:szCs w:val="20"/>
          <w:lang w:val="en-GB"/>
        </w:rPr>
      </w:pPr>
      <w:r w:rsidRPr="00B66EDA">
        <w:rPr>
          <w:rFonts w:ascii="Arial" w:hAnsi="Arial" w:cs="Arial"/>
          <w:b/>
          <w:sz w:val="20"/>
          <w:szCs w:val="20"/>
          <w:lang w:val="en-GB"/>
        </w:rPr>
        <w:t>Scrutiny</w:t>
      </w:r>
    </w:p>
    <w:p w14:paraId="5BF61FB0" w14:textId="77777777" w:rsidR="006B7D03" w:rsidRDefault="00A724BF" w:rsidP="004F106E">
      <w:pPr>
        <w:pStyle w:val="BodyText"/>
        <w:jc w:val="both"/>
        <w:rPr>
          <w:rFonts w:ascii="Arial" w:hAnsi="Arial" w:cs="Arial"/>
          <w:sz w:val="20"/>
          <w:szCs w:val="20"/>
          <w:lang w:val="en-GB"/>
        </w:rPr>
      </w:pPr>
      <w:r>
        <w:rPr>
          <w:rFonts w:ascii="Arial" w:hAnsi="Arial" w:cs="Arial"/>
          <w:sz w:val="20"/>
          <w:szCs w:val="20"/>
          <w:lang w:val="en-GB"/>
        </w:rPr>
        <w:t>It is the responsibility of Full Council to approve the Treasury Management Strategy, following consideration of the strategy by Financial Policy Panel.</w:t>
      </w:r>
    </w:p>
    <w:p w14:paraId="0C2A998D" w14:textId="77777777" w:rsidR="00EB796A" w:rsidRPr="00B66EDA" w:rsidRDefault="00A724BF" w:rsidP="004F106E">
      <w:pPr>
        <w:pStyle w:val="BodyText"/>
        <w:jc w:val="both"/>
        <w:rPr>
          <w:rFonts w:ascii="Arial" w:hAnsi="Arial" w:cs="Arial"/>
          <w:b/>
          <w:sz w:val="20"/>
          <w:szCs w:val="20"/>
          <w:lang w:val="en-GB"/>
        </w:rPr>
      </w:pPr>
      <w:r>
        <w:rPr>
          <w:rFonts w:ascii="Arial" w:hAnsi="Arial" w:cs="Arial"/>
          <w:sz w:val="20"/>
          <w:szCs w:val="20"/>
          <w:lang w:val="en-GB"/>
        </w:rPr>
        <w:t>T</w:t>
      </w:r>
      <w:r w:rsidRPr="00B66EDA">
        <w:rPr>
          <w:rFonts w:ascii="Arial" w:hAnsi="Arial" w:cs="Arial"/>
          <w:sz w:val="20"/>
          <w:szCs w:val="20"/>
          <w:lang w:val="en-GB"/>
        </w:rPr>
        <w:t xml:space="preserve">he Council </w:t>
      </w:r>
      <w:r>
        <w:rPr>
          <w:rFonts w:ascii="Arial" w:hAnsi="Arial" w:cs="Arial"/>
          <w:sz w:val="20"/>
          <w:szCs w:val="20"/>
          <w:lang w:val="en-GB"/>
        </w:rPr>
        <w:t xml:space="preserve">has </w:t>
      </w:r>
      <w:r w:rsidRPr="00B66EDA">
        <w:rPr>
          <w:rFonts w:ascii="Arial" w:hAnsi="Arial" w:cs="Arial"/>
          <w:sz w:val="20"/>
          <w:szCs w:val="20"/>
          <w:lang w:val="en-GB"/>
        </w:rPr>
        <w:t>delegate</w:t>
      </w:r>
      <w:r>
        <w:rPr>
          <w:rFonts w:ascii="Arial" w:hAnsi="Arial" w:cs="Arial"/>
          <w:sz w:val="20"/>
          <w:szCs w:val="20"/>
          <w:lang w:val="en-GB"/>
        </w:rPr>
        <w:t>d</w:t>
      </w:r>
      <w:r w:rsidRPr="00B66EDA">
        <w:rPr>
          <w:rFonts w:ascii="Arial" w:hAnsi="Arial" w:cs="Arial"/>
          <w:sz w:val="20"/>
          <w:szCs w:val="20"/>
          <w:lang w:val="en-GB"/>
        </w:rPr>
        <w:t xml:space="preserve"> responsibility for monitoring treasury management </w:t>
      </w:r>
      <w:r>
        <w:rPr>
          <w:rFonts w:ascii="Arial" w:hAnsi="Arial" w:cs="Arial"/>
          <w:sz w:val="20"/>
          <w:szCs w:val="20"/>
          <w:lang w:val="en-GB"/>
        </w:rPr>
        <w:t xml:space="preserve">performance (the mid-year and annual performance reports above) and policies </w:t>
      </w:r>
      <w:r w:rsidRPr="00B66EDA">
        <w:rPr>
          <w:rFonts w:ascii="Arial" w:hAnsi="Arial" w:cs="Arial"/>
          <w:sz w:val="20"/>
          <w:szCs w:val="20"/>
          <w:lang w:val="en-GB"/>
        </w:rPr>
        <w:t xml:space="preserve">to </w:t>
      </w:r>
      <w:r>
        <w:rPr>
          <w:rFonts w:ascii="Arial" w:hAnsi="Arial" w:cs="Arial"/>
          <w:sz w:val="20"/>
          <w:szCs w:val="20"/>
          <w:lang w:val="en-GB"/>
        </w:rPr>
        <w:t xml:space="preserve">Audit &amp; Scrutiny </w:t>
      </w:r>
      <w:r w:rsidRPr="00B66EDA">
        <w:rPr>
          <w:rFonts w:ascii="Arial" w:hAnsi="Arial" w:cs="Arial"/>
          <w:sz w:val="20"/>
          <w:szCs w:val="20"/>
          <w:lang w:val="en-GB"/>
        </w:rPr>
        <w:t>Committee</w:t>
      </w:r>
      <w:r w:rsidR="00B02E25" w:rsidRPr="00B66EDA">
        <w:rPr>
          <w:rFonts w:ascii="Arial" w:hAnsi="Arial" w:cs="Arial"/>
          <w:sz w:val="20"/>
          <w:szCs w:val="20"/>
          <w:lang w:val="en-GB"/>
        </w:rPr>
        <w:t>.</w:t>
      </w:r>
      <w:r>
        <w:rPr>
          <w:rFonts w:ascii="Arial" w:hAnsi="Arial" w:cs="Arial"/>
          <w:sz w:val="20"/>
          <w:szCs w:val="20"/>
          <w:lang w:val="en-GB"/>
        </w:rPr>
        <w:t xml:space="preserve"> </w:t>
      </w:r>
    </w:p>
    <w:p w14:paraId="59517E4D" w14:textId="195951E9" w:rsidR="00EB796A" w:rsidRPr="00B66EDA" w:rsidRDefault="00A724BF" w:rsidP="00183FD0">
      <w:pPr>
        <w:pStyle w:val="subhead"/>
        <w:ind w:left="357" w:hanging="357"/>
        <w:rPr>
          <w:noProof w:val="0"/>
          <w:sz w:val="20"/>
          <w:szCs w:val="20"/>
        </w:rPr>
      </w:pPr>
      <w:bookmarkStart w:id="100" w:name="_Toc56008262"/>
      <w:r w:rsidRPr="00B66EDA">
        <w:rPr>
          <w:noProof w:val="0"/>
          <w:sz w:val="20"/>
          <w:szCs w:val="20"/>
        </w:rPr>
        <w:t>Treasury Management Strategy for 202</w:t>
      </w:r>
      <w:bookmarkEnd w:id="100"/>
      <w:r>
        <w:rPr>
          <w:noProof w:val="0"/>
          <w:sz w:val="20"/>
          <w:szCs w:val="20"/>
        </w:rPr>
        <w:t>3/24</w:t>
      </w:r>
    </w:p>
    <w:p w14:paraId="26674623" w14:textId="77777777" w:rsidR="00EB796A" w:rsidRPr="00B66EDA" w:rsidRDefault="00A724BF" w:rsidP="000F4D6A">
      <w:pPr>
        <w:pStyle w:val="BodyText"/>
        <w:jc w:val="both"/>
        <w:rPr>
          <w:rFonts w:ascii="Arial" w:hAnsi="Arial" w:cs="Arial"/>
          <w:sz w:val="20"/>
          <w:szCs w:val="20"/>
          <w:lang w:val="en-GB"/>
        </w:rPr>
      </w:pPr>
      <w:r w:rsidRPr="00B66EDA">
        <w:rPr>
          <w:rFonts w:ascii="Arial" w:hAnsi="Arial" w:cs="Arial"/>
          <w:sz w:val="20"/>
          <w:szCs w:val="20"/>
          <w:lang w:val="en-GB"/>
        </w:rPr>
        <w:t>The strategy for 202</w:t>
      </w:r>
      <w:r w:rsidR="006B7D03">
        <w:rPr>
          <w:rFonts w:ascii="Arial" w:hAnsi="Arial" w:cs="Arial"/>
          <w:sz w:val="20"/>
          <w:szCs w:val="20"/>
          <w:lang w:val="en-GB"/>
        </w:rPr>
        <w:t>3</w:t>
      </w:r>
      <w:r w:rsidRPr="00B66EDA">
        <w:rPr>
          <w:rFonts w:ascii="Arial" w:hAnsi="Arial" w:cs="Arial"/>
          <w:sz w:val="20"/>
          <w:szCs w:val="20"/>
          <w:lang w:val="en-GB"/>
        </w:rPr>
        <w:t>/2</w:t>
      </w:r>
      <w:r w:rsidR="006B7D03">
        <w:rPr>
          <w:rFonts w:ascii="Arial" w:hAnsi="Arial" w:cs="Arial"/>
          <w:sz w:val="20"/>
          <w:szCs w:val="20"/>
          <w:lang w:val="en-GB"/>
        </w:rPr>
        <w:t>4</w:t>
      </w:r>
      <w:r w:rsidRPr="00B66EDA">
        <w:rPr>
          <w:rFonts w:ascii="Arial" w:hAnsi="Arial" w:cs="Arial"/>
          <w:sz w:val="20"/>
          <w:szCs w:val="20"/>
          <w:lang w:val="en-GB"/>
        </w:rPr>
        <w:t xml:space="preserve"> covers two main areas:</w:t>
      </w:r>
    </w:p>
    <w:p w14:paraId="62FA7159" w14:textId="77777777" w:rsidR="00EB796A" w:rsidRPr="00B66EDA" w:rsidRDefault="00EB796A" w:rsidP="000F4D6A">
      <w:pPr>
        <w:pStyle w:val="BodyText"/>
        <w:jc w:val="both"/>
        <w:rPr>
          <w:rFonts w:ascii="Arial" w:hAnsi="Arial" w:cs="Arial"/>
          <w:sz w:val="20"/>
          <w:szCs w:val="20"/>
          <w:lang w:val="en-GB"/>
        </w:rPr>
      </w:pPr>
    </w:p>
    <w:p w14:paraId="3CDB4BDC" w14:textId="77777777" w:rsidR="00EB796A" w:rsidRPr="00B66EDA" w:rsidRDefault="00A724BF" w:rsidP="000F4D6A">
      <w:pPr>
        <w:pStyle w:val="BodyText"/>
        <w:jc w:val="both"/>
        <w:rPr>
          <w:rFonts w:ascii="Arial" w:hAnsi="Arial" w:cs="Arial"/>
          <w:b/>
          <w:sz w:val="20"/>
          <w:szCs w:val="20"/>
          <w:lang w:val="en-GB"/>
        </w:rPr>
      </w:pPr>
      <w:r w:rsidRPr="00B66EDA">
        <w:rPr>
          <w:rFonts w:ascii="Arial" w:hAnsi="Arial" w:cs="Arial"/>
          <w:b/>
          <w:sz w:val="20"/>
          <w:szCs w:val="20"/>
          <w:lang w:val="en-GB"/>
        </w:rPr>
        <w:t>Capital issues</w:t>
      </w:r>
    </w:p>
    <w:p w14:paraId="43F9F94F" w14:textId="77777777" w:rsidR="00EB796A" w:rsidRPr="00B66EDA" w:rsidRDefault="00A724BF" w:rsidP="0085303A">
      <w:pPr>
        <w:numPr>
          <w:ilvl w:val="0"/>
          <w:numId w:val="1"/>
        </w:numPr>
        <w:spacing w:before="45" w:after="45"/>
        <w:ind w:left="570" w:hanging="285"/>
        <w:jc w:val="both"/>
        <w:rPr>
          <w:rFonts w:cs="Arial"/>
        </w:rPr>
      </w:pPr>
      <w:r w:rsidRPr="00B66EDA">
        <w:rPr>
          <w:rFonts w:cs="Arial"/>
        </w:rPr>
        <w:t xml:space="preserve">the capital expenditure plans and the associated prudential </w:t>
      </w:r>
      <w:proofErr w:type="gramStart"/>
      <w:r w:rsidRPr="00B66EDA">
        <w:rPr>
          <w:rFonts w:cs="Arial"/>
        </w:rPr>
        <w:t>indicators;</w:t>
      </w:r>
      <w:proofErr w:type="gramEnd"/>
    </w:p>
    <w:p w14:paraId="67DE22FD" w14:textId="77777777" w:rsidR="00EB796A" w:rsidRPr="00B66EDA" w:rsidRDefault="00A724BF" w:rsidP="0085303A">
      <w:pPr>
        <w:numPr>
          <w:ilvl w:val="0"/>
          <w:numId w:val="1"/>
        </w:numPr>
        <w:spacing w:before="45" w:after="45"/>
        <w:ind w:left="570" w:hanging="285"/>
        <w:rPr>
          <w:rFonts w:cs="Arial"/>
        </w:rPr>
      </w:pPr>
      <w:r w:rsidRPr="00B66EDA">
        <w:rPr>
          <w:rFonts w:cs="Arial"/>
        </w:rPr>
        <w:t>the minimum revenue provision (MRP) policy.</w:t>
      </w:r>
    </w:p>
    <w:p w14:paraId="4FF13533" w14:textId="77777777" w:rsidR="00EB796A" w:rsidRPr="00B66EDA" w:rsidRDefault="00EB796A" w:rsidP="00DF677B">
      <w:pPr>
        <w:spacing w:before="45" w:after="45"/>
        <w:ind w:left="285"/>
        <w:rPr>
          <w:rFonts w:cs="Arial"/>
        </w:rPr>
      </w:pPr>
    </w:p>
    <w:p w14:paraId="7392D7F1" w14:textId="77777777" w:rsidR="00EB796A" w:rsidRPr="00B66EDA" w:rsidRDefault="00A724BF" w:rsidP="00445DA3">
      <w:pPr>
        <w:spacing w:before="45" w:after="45"/>
        <w:rPr>
          <w:rFonts w:cs="Arial"/>
          <w:b/>
        </w:rPr>
      </w:pPr>
      <w:r w:rsidRPr="00B66EDA">
        <w:rPr>
          <w:rFonts w:cs="Arial"/>
          <w:b/>
        </w:rPr>
        <w:t>Treasury management issues</w:t>
      </w:r>
    </w:p>
    <w:p w14:paraId="63732066" w14:textId="77777777" w:rsidR="00EB796A" w:rsidRPr="00B66EDA" w:rsidRDefault="00A724BF" w:rsidP="00792B65">
      <w:pPr>
        <w:numPr>
          <w:ilvl w:val="0"/>
          <w:numId w:val="1"/>
        </w:numPr>
        <w:spacing w:before="45" w:after="45"/>
        <w:ind w:left="570" w:hanging="285"/>
        <w:jc w:val="both"/>
        <w:rPr>
          <w:rFonts w:cs="Arial"/>
        </w:rPr>
      </w:pPr>
      <w:r w:rsidRPr="00B66EDA">
        <w:rPr>
          <w:rFonts w:cs="Arial"/>
        </w:rPr>
        <w:t xml:space="preserve">the current treasury </w:t>
      </w:r>
      <w:proofErr w:type="gramStart"/>
      <w:r w:rsidRPr="00B66EDA">
        <w:rPr>
          <w:rFonts w:cs="Arial"/>
        </w:rPr>
        <w:t>position;</w:t>
      </w:r>
      <w:proofErr w:type="gramEnd"/>
    </w:p>
    <w:p w14:paraId="52AEDFF7" w14:textId="77777777" w:rsidR="00EB796A" w:rsidRPr="00B66EDA" w:rsidRDefault="00A724BF" w:rsidP="0085303A">
      <w:pPr>
        <w:numPr>
          <w:ilvl w:val="0"/>
          <w:numId w:val="1"/>
        </w:numPr>
        <w:spacing w:before="45" w:after="45"/>
        <w:ind w:left="570" w:hanging="285"/>
        <w:jc w:val="both"/>
        <w:rPr>
          <w:rFonts w:cs="Arial"/>
        </w:rPr>
      </w:pPr>
      <w:r w:rsidRPr="00B66EDA">
        <w:rPr>
          <w:rFonts w:cs="Arial"/>
        </w:rPr>
        <w:t xml:space="preserve">treasury indicators which limit the treasury risk and activities of the </w:t>
      </w:r>
      <w:proofErr w:type="gramStart"/>
      <w:r w:rsidRPr="00B66EDA">
        <w:rPr>
          <w:rFonts w:cs="Arial"/>
        </w:rPr>
        <w:t>Council;</w:t>
      </w:r>
      <w:proofErr w:type="gramEnd"/>
    </w:p>
    <w:p w14:paraId="19D2EAB0" w14:textId="77777777" w:rsidR="00EB796A" w:rsidRPr="00B66EDA" w:rsidRDefault="00A724BF" w:rsidP="00792B65">
      <w:pPr>
        <w:numPr>
          <w:ilvl w:val="0"/>
          <w:numId w:val="1"/>
        </w:numPr>
        <w:spacing w:before="45" w:after="45"/>
        <w:ind w:left="570" w:hanging="285"/>
        <w:jc w:val="both"/>
        <w:rPr>
          <w:rFonts w:cs="Arial"/>
        </w:rPr>
      </w:pPr>
      <w:r w:rsidRPr="00B66EDA">
        <w:rPr>
          <w:rFonts w:cs="Arial"/>
        </w:rPr>
        <w:t xml:space="preserve">prospects for interest </w:t>
      </w:r>
      <w:proofErr w:type="gramStart"/>
      <w:r w:rsidRPr="00B66EDA">
        <w:rPr>
          <w:rFonts w:cs="Arial"/>
        </w:rPr>
        <w:t>rates;</w:t>
      </w:r>
      <w:proofErr w:type="gramEnd"/>
    </w:p>
    <w:p w14:paraId="4B822140" w14:textId="77777777" w:rsidR="00EB796A" w:rsidRPr="00B66EDA" w:rsidRDefault="00A724BF" w:rsidP="00792B65">
      <w:pPr>
        <w:numPr>
          <w:ilvl w:val="0"/>
          <w:numId w:val="1"/>
        </w:numPr>
        <w:spacing w:before="45" w:after="45"/>
        <w:ind w:left="570" w:hanging="285"/>
        <w:rPr>
          <w:rFonts w:cs="Arial"/>
        </w:rPr>
      </w:pPr>
      <w:r w:rsidRPr="00B66EDA">
        <w:rPr>
          <w:rFonts w:cs="Arial"/>
        </w:rPr>
        <w:t xml:space="preserve">the borrowing </w:t>
      </w:r>
      <w:proofErr w:type="gramStart"/>
      <w:r w:rsidRPr="00B66EDA">
        <w:rPr>
          <w:rFonts w:cs="Arial"/>
        </w:rPr>
        <w:t>strategy;</w:t>
      </w:r>
      <w:proofErr w:type="gramEnd"/>
    </w:p>
    <w:p w14:paraId="5A4280BF" w14:textId="77777777" w:rsidR="00EB796A" w:rsidRPr="00B66EDA" w:rsidRDefault="00A724BF" w:rsidP="00792B65">
      <w:pPr>
        <w:numPr>
          <w:ilvl w:val="0"/>
          <w:numId w:val="1"/>
        </w:numPr>
        <w:spacing w:before="45" w:after="45"/>
        <w:ind w:left="570" w:hanging="285"/>
        <w:rPr>
          <w:rFonts w:cs="Arial"/>
        </w:rPr>
      </w:pPr>
      <w:r w:rsidRPr="00B66EDA">
        <w:rPr>
          <w:rFonts w:cs="Arial"/>
        </w:rPr>
        <w:t xml:space="preserve">policy on borrowing in advance of </w:t>
      </w:r>
      <w:proofErr w:type="gramStart"/>
      <w:r w:rsidRPr="00B66EDA">
        <w:rPr>
          <w:rFonts w:cs="Arial"/>
        </w:rPr>
        <w:t>need;</w:t>
      </w:r>
      <w:proofErr w:type="gramEnd"/>
    </w:p>
    <w:p w14:paraId="4451F9D3" w14:textId="77777777" w:rsidR="00EB796A" w:rsidRPr="00B66EDA" w:rsidRDefault="00A724BF" w:rsidP="00792B65">
      <w:pPr>
        <w:numPr>
          <w:ilvl w:val="0"/>
          <w:numId w:val="1"/>
        </w:numPr>
        <w:spacing w:before="45" w:after="45"/>
        <w:ind w:left="570" w:hanging="285"/>
        <w:rPr>
          <w:rFonts w:cs="Arial"/>
        </w:rPr>
      </w:pPr>
      <w:r w:rsidRPr="00B66EDA">
        <w:rPr>
          <w:rFonts w:cs="Arial"/>
        </w:rPr>
        <w:t xml:space="preserve">debt </w:t>
      </w:r>
      <w:proofErr w:type="gramStart"/>
      <w:r w:rsidRPr="00B66EDA">
        <w:rPr>
          <w:rFonts w:cs="Arial"/>
        </w:rPr>
        <w:t>rescheduling;</w:t>
      </w:r>
      <w:proofErr w:type="gramEnd"/>
    </w:p>
    <w:p w14:paraId="17E9F6B6" w14:textId="77777777" w:rsidR="00EB796A" w:rsidRPr="00B66EDA" w:rsidRDefault="00A724BF" w:rsidP="00792B65">
      <w:pPr>
        <w:numPr>
          <w:ilvl w:val="0"/>
          <w:numId w:val="1"/>
        </w:numPr>
        <w:spacing w:before="45" w:after="45"/>
        <w:ind w:left="570" w:hanging="285"/>
        <w:rPr>
          <w:rFonts w:cs="Arial"/>
        </w:rPr>
      </w:pPr>
      <w:r w:rsidRPr="00B66EDA">
        <w:rPr>
          <w:rFonts w:cs="Arial"/>
        </w:rPr>
        <w:t xml:space="preserve">the investment </w:t>
      </w:r>
      <w:proofErr w:type="gramStart"/>
      <w:r w:rsidRPr="00B66EDA">
        <w:rPr>
          <w:rFonts w:cs="Arial"/>
        </w:rPr>
        <w:t>strategy;</w:t>
      </w:r>
      <w:proofErr w:type="gramEnd"/>
    </w:p>
    <w:p w14:paraId="05AA5C8B" w14:textId="77777777" w:rsidR="00EB796A" w:rsidRPr="00B66EDA" w:rsidRDefault="00A724BF" w:rsidP="00792B65">
      <w:pPr>
        <w:numPr>
          <w:ilvl w:val="0"/>
          <w:numId w:val="1"/>
        </w:numPr>
        <w:spacing w:before="45" w:after="45"/>
        <w:ind w:left="570" w:hanging="285"/>
        <w:rPr>
          <w:rFonts w:cs="Arial"/>
        </w:rPr>
      </w:pPr>
      <w:r w:rsidRPr="00B66EDA">
        <w:rPr>
          <w:rFonts w:cs="Arial"/>
        </w:rPr>
        <w:t>creditworthiness policy; and</w:t>
      </w:r>
    </w:p>
    <w:p w14:paraId="73ACEB5A" w14:textId="77777777" w:rsidR="00EB796A" w:rsidRPr="00B66EDA" w:rsidRDefault="00A724BF" w:rsidP="00792B65">
      <w:pPr>
        <w:numPr>
          <w:ilvl w:val="0"/>
          <w:numId w:val="1"/>
        </w:numPr>
        <w:spacing w:before="45" w:after="45"/>
        <w:ind w:left="570" w:hanging="285"/>
        <w:rPr>
          <w:rFonts w:cs="Arial"/>
        </w:rPr>
      </w:pPr>
      <w:r w:rsidRPr="00B66EDA">
        <w:rPr>
          <w:rFonts w:cs="Arial"/>
        </w:rPr>
        <w:t>the policy on use of external service providers.</w:t>
      </w:r>
    </w:p>
    <w:p w14:paraId="4BCDD800" w14:textId="77777777" w:rsidR="00EB796A" w:rsidRPr="00B66EDA" w:rsidRDefault="00EB796A" w:rsidP="004B4949">
      <w:pPr>
        <w:spacing w:before="45" w:after="45"/>
        <w:rPr>
          <w:rFonts w:cs="Arial"/>
        </w:rPr>
      </w:pPr>
    </w:p>
    <w:p w14:paraId="32E45F07" w14:textId="77777777" w:rsidR="00EB796A" w:rsidRPr="00B66EDA" w:rsidRDefault="00A724BF" w:rsidP="000F5CF8">
      <w:pPr>
        <w:spacing w:before="45" w:after="45"/>
        <w:jc w:val="both"/>
        <w:rPr>
          <w:rFonts w:cs="Arial"/>
        </w:rPr>
      </w:pPr>
      <w:r w:rsidRPr="00B66EDA">
        <w:rPr>
          <w:rFonts w:cs="Arial"/>
        </w:rPr>
        <w:t xml:space="preserve">These elements cover the requirements of the Local Government Act 2003, the CIPFA Prudential Code, </w:t>
      </w:r>
      <w:r w:rsidR="00342383">
        <w:rPr>
          <w:rFonts w:cs="Arial"/>
        </w:rPr>
        <w:t>DLU</w:t>
      </w:r>
      <w:r w:rsidRPr="00B66EDA">
        <w:rPr>
          <w:rFonts w:cs="Arial"/>
        </w:rPr>
        <w:t xml:space="preserve">HC MRP Guidance, the CIPFA Treasury Management Code and </w:t>
      </w:r>
      <w:r w:rsidR="00342383">
        <w:rPr>
          <w:rFonts w:cs="Arial"/>
        </w:rPr>
        <w:t>DLU</w:t>
      </w:r>
      <w:r w:rsidRPr="00B66EDA">
        <w:rPr>
          <w:rFonts w:cs="Arial"/>
        </w:rPr>
        <w:t>HC Investment Guidance.</w:t>
      </w:r>
    </w:p>
    <w:p w14:paraId="7E1E6003" w14:textId="77777777" w:rsidR="00EB796A" w:rsidRPr="00B66EDA" w:rsidRDefault="00A724BF" w:rsidP="00AA06DE">
      <w:pPr>
        <w:pStyle w:val="subhead"/>
        <w:rPr>
          <w:noProof w:val="0"/>
          <w:sz w:val="20"/>
          <w:szCs w:val="20"/>
        </w:rPr>
      </w:pPr>
      <w:bookmarkStart w:id="101" w:name="_Toc56008263"/>
      <w:r w:rsidRPr="00B66EDA">
        <w:rPr>
          <w:noProof w:val="0"/>
          <w:sz w:val="20"/>
          <w:szCs w:val="20"/>
        </w:rPr>
        <w:t>Training</w:t>
      </w:r>
      <w:bookmarkEnd w:id="101"/>
    </w:p>
    <w:p w14:paraId="6E565670" w14:textId="77777777" w:rsidR="00EB796A" w:rsidRPr="00B66EDA" w:rsidRDefault="00A724BF" w:rsidP="000F5CF8">
      <w:pPr>
        <w:spacing w:before="45" w:after="45"/>
        <w:jc w:val="both"/>
        <w:rPr>
          <w:rFonts w:cs="Arial"/>
        </w:rPr>
      </w:pPr>
      <w:r w:rsidRPr="00B66EDA">
        <w:rPr>
          <w:rFonts w:cs="Arial"/>
        </w:rPr>
        <w:t xml:space="preserve">The CIPFA Code requires the responsible officer to ensure that members with responsibility for treasury management receive adequate training in treasury management.  This especially applies to members responsible for scrutiny. </w:t>
      </w:r>
      <w:proofErr w:type="gramStart"/>
      <w:r w:rsidRPr="00B66EDA">
        <w:rPr>
          <w:rFonts w:cs="Arial"/>
        </w:rPr>
        <w:t>In order to</w:t>
      </w:r>
      <w:proofErr w:type="gramEnd"/>
      <w:r w:rsidRPr="00B66EDA">
        <w:rPr>
          <w:rFonts w:cs="Arial"/>
        </w:rPr>
        <w:t xml:space="preserve"> meet this requirement, during the last year, </w:t>
      </w:r>
      <w:r w:rsidR="006B7D03">
        <w:rPr>
          <w:rFonts w:cs="Arial"/>
        </w:rPr>
        <w:t xml:space="preserve">all </w:t>
      </w:r>
      <w:r w:rsidRPr="00B66EDA">
        <w:rPr>
          <w:rFonts w:cs="Arial"/>
        </w:rPr>
        <w:t xml:space="preserve">members </w:t>
      </w:r>
      <w:r w:rsidR="006B7D03">
        <w:rPr>
          <w:rFonts w:cs="Arial"/>
        </w:rPr>
        <w:t xml:space="preserve">including Audit &amp; Scrutiny </w:t>
      </w:r>
      <w:r w:rsidRPr="00B66EDA">
        <w:rPr>
          <w:rFonts w:cs="Arial"/>
        </w:rPr>
        <w:t xml:space="preserve">have </w:t>
      </w:r>
      <w:r w:rsidR="006B7D03">
        <w:rPr>
          <w:rFonts w:cs="Arial"/>
        </w:rPr>
        <w:t xml:space="preserve">had the opportunity to </w:t>
      </w:r>
      <w:r w:rsidRPr="00B66EDA">
        <w:rPr>
          <w:rFonts w:cs="Arial"/>
        </w:rPr>
        <w:t>receiv</w:t>
      </w:r>
      <w:r w:rsidR="006B7D03">
        <w:rPr>
          <w:rFonts w:cs="Arial"/>
        </w:rPr>
        <w:t>e</w:t>
      </w:r>
      <w:r w:rsidRPr="00B66EDA">
        <w:rPr>
          <w:rFonts w:cs="Arial"/>
        </w:rPr>
        <w:t xml:space="preserve"> </w:t>
      </w:r>
      <w:r w:rsidR="006B7D03">
        <w:rPr>
          <w:rFonts w:cs="Arial"/>
        </w:rPr>
        <w:t xml:space="preserve">a training </w:t>
      </w:r>
      <w:r w:rsidRPr="00B66EDA">
        <w:rPr>
          <w:rFonts w:cs="Arial"/>
        </w:rPr>
        <w:t xml:space="preserve">presentation from the Council’s external treasury management advisors, Link Group Treasury Solutions and further training will be arranged as required. </w:t>
      </w:r>
    </w:p>
    <w:p w14:paraId="013EF091" w14:textId="77777777" w:rsidR="00EB796A" w:rsidRPr="00B66EDA" w:rsidRDefault="00A724BF" w:rsidP="000F5CF8">
      <w:pPr>
        <w:spacing w:before="45" w:after="45"/>
        <w:jc w:val="both"/>
        <w:rPr>
          <w:rFonts w:cs="Arial"/>
        </w:rPr>
      </w:pPr>
      <w:r w:rsidRPr="00B66EDA">
        <w:rPr>
          <w:rFonts w:cs="Arial"/>
        </w:rPr>
        <w:lastRenderedPageBreak/>
        <w:t xml:space="preserve">The training needs of treasury management officers are periodically reviewed. </w:t>
      </w:r>
    </w:p>
    <w:p w14:paraId="669F911D" w14:textId="77777777" w:rsidR="00EB796A" w:rsidRPr="00B66EDA" w:rsidRDefault="00A724BF" w:rsidP="004F77EB">
      <w:pPr>
        <w:pStyle w:val="subhead"/>
        <w:ind w:left="357" w:hanging="357"/>
        <w:rPr>
          <w:noProof w:val="0"/>
          <w:sz w:val="20"/>
          <w:szCs w:val="20"/>
        </w:rPr>
      </w:pPr>
      <w:bookmarkStart w:id="102" w:name="_Toc56008264"/>
      <w:r w:rsidRPr="00B66EDA">
        <w:rPr>
          <w:noProof w:val="0"/>
          <w:sz w:val="20"/>
          <w:szCs w:val="20"/>
        </w:rPr>
        <w:t>Treasury management consultants</w:t>
      </w:r>
      <w:bookmarkEnd w:id="102"/>
    </w:p>
    <w:p w14:paraId="128EE659" w14:textId="77777777" w:rsidR="00EB796A" w:rsidRPr="00B66EDA" w:rsidRDefault="00A724BF" w:rsidP="00285FAA">
      <w:pPr>
        <w:jc w:val="both"/>
        <w:rPr>
          <w:rFonts w:cs="Arial"/>
        </w:rPr>
      </w:pPr>
      <w:r w:rsidRPr="00B66EDA">
        <w:rPr>
          <w:rFonts w:cs="Arial"/>
        </w:rPr>
        <w:t>The Council uses Link Group, Treasury solutions as its external treasury management advisors.</w:t>
      </w:r>
    </w:p>
    <w:p w14:paraId="0F2796FD" w14:textId="77777777" w:rsidR="00EB796A" w:rsidRPr="00B66EDA" w:rsidRDefault="00A724BF" w:rsidP="00285FAA">
      <w:pPr>
        <w:jc w:val="both"/>
        <w:rPr>
          <w:rFonts w:cs="Arial"/>
        </w:rPr>
      </w:pPr>
      <w:r w:rsidRPr="00B66EDA">
        <w:rPr>
          <w:rFonts w:cs="Arial"/>
        </w:rPr>
        <w:t xml:space="preserve">The Council recognises that responsibility for treasury management decisions </w:t>
      </w:r>
      <w:proofErr w:type="gramStart"/>
      <w:r w:rsidRPr="00B66EDA">
        <w:rPr>
          <w:rFonts w:cs="Arial"/>
        </w:rPr>
        <w:t>remains with the organisation at all times</w:t>
      </w:r>
      <w:proofErr w:type="gramEnd"/>
      <w:r w:rsidRPr="00B66EDA">
        <w:rPr>
          <w:rFonts w:cs="Arial"/>
        </w:rPr>
        <w:t xml:space="preserve"> and will ensure that undue reliance is not placed upon the services of our external service providers. All decisions will be undertaken with regards to all available information, including, but not solely, our treasury advisers.</w:t>
      </w:r>
    </w:p>
    <w:p w14:paraId="7CD8134A" w14:textId="77777777" w:rsidR="00EB796A" w:rsidRPr="00B66EDA" w:rsidRDefault="00EB796A" w:rsidP="00285FAA">
      <w:pPr>
        <w:jc w:val="both"/>
        <w:rPr>
          <w:rFonts w:cs="Arial"/>
        </w:rPr>
      </w:pPr>
    </w:p>
    <w:p w14:paraId="0869049C" w14:textId="77777777" w:rsidR="00753D34" w:rsidRPr="00B66EDA" w:rsidRDefault="00A724BF" w:rsidP="00753D34">
      <w:pPr>
        <w:jc w:val="both"/>
        <w:rPr>
          <w:rFonts w:cs="Arial"/>
          <w:i/>
          <w:iCs/>
          <w:color w:val="0000FF"/>
        </w:rPr>
      </w:pPr>
      <w:r w:rsidRPr="00B66EDA">
        <w:rPr>
          <w:rFonts w:cs="Arial"/>
        </w:rPr>
        <w:t xml:space="preserve">It also recognises that </w:t>
      </w:r>
      <w:r w:rsidRPr="00B66EDA">
        <w:rPr>
          <w:rStyle w:val="bodyChar"/>
          <w:noProof w:val="0"/>
          <w:sz w:val="20"/>
          <w:szCs w:val="20"/>
        </w:rPr>
        <w:t xml:space="preserve">there is value in employing external providers of treasury management services </w:t>
      </w:r>
      <w:proofErr w:type="gramStart"/>
      <w:r w:rsidRPr="00B66EDA">
        <w:rPr>
          <w:rStyle w:val="bodyChar"/>
          <w:noProof w:val="0"/>
          <w:sz w:val="20"/>
          <w:szCs w:val="20"/>
        </w:rPr>
        <w:t>in order to</w:t>
      </w:r>
      <w:proofErr w:type="gramEnd"/>
      <w:r w:rsidRPr="00B66EDA">
        <w:rPr>
          <w:rStyle w:val="bodyChar"/>
          <w:noProof w:val="0"/>
          <w:sz w:val="20"/>
          <w:szCs w:val="20"/>
        </w:rPr>
        <w:t xml:space="preserve"> acquire access to specialist skills and resources. The Council will ensure that the terms of their appointment and the methods by which their value will be assessed are properly agreed</w:t>
      </w:r>
      <w:r w:rsidRPr="00B66EDA">
        <w:rPr>
          <w:rFonts w:cs="Arial"/>
        </w:rPr>
        <w:t xml:space="preserve"> and documented and subjected to regular review.  </w:t>
      </w:r>
    </w:p>
    <w:p w14:paraId="3FE27890" w14:textId="77777777" w:rsidR="00070DF3" w:rsidRPr="00B66EDA" w:rsidRDefault="00070DF3" w:rsidP="00F97DEF">
      <w:pPr>
        <w:autoSpaceDE w:val="0"/>
        <w:autoSpaceDN w:val="0"/>
        <w:adjustRightInd w:val="0"/>
        <w:jc w:val="both"/>
        <w:rPr>
          <w:rFonts w:cs="Arial"/>
          <w:i/>
          <w:iCs/>
          <w:color w:val="0000FF"/>
        </w:rPr>
      </w:pPr>
    </w:p>
    <w:p w14:paraId="6E380660" w14:textId="77777777" w:rsidR="00EB796A" w:rsidRPr="00B66EDA" w:rsidRDefault="00A724BF" w:rsidP="00AA0A10">
      <w:pPr>
        <w:pStyle w:val="Heading"/>
        <w:pageBreakBefore/>
        <w:ind w:left="357" w:hanging="357"/>
        <w:rPr>
          <w:rFonts w:ascii="Arial" w:hAnsi="Arial"/>
          <w:noProof w:val="0"/>
          <w:sz w:val="33"/>
          <w:szCs w:val="33"/>
        </w:rPr>
      </w:pPr>
      <w:bookmarkStart w:id="103" w:name="_Toc56008265"/>
      <w:r w:rsidRPr="00B66EDA">
        <w:rPr>
          <w:rFonts w:ascii="Arial" w:hAnsi="Arial"/>
          <w:noProof w:val="0"/>
          <w:sz w:val="33"/>
          <w:szCs w:val="33"/>
        </w:rPr>
        <w:lastRenderedPageBreak/>
        <w:t>THE CAPITAL PRUDENTIAL INDICATORS 202</w:t>
      </w:r>
      <w:r w:rsidR="00753D34">
        <w:rPr>
          <w:rFonts w:ascii="Arial" w:hAnsi="Arial"/>
          <w:noProof w:val="0"/>
          <w:sz w:val="33"/>
          <w:szCs w:val="33"/>
        </w:rPr>
        <w:t>3</w:t>
      </w:r>
      <w:r w:rsidRPr="00B66EDA">
        <w:rPr>
          <w:rFonts w:ascii="Arial" w:hAnsi="Arial"/>
          <w:noProof w:val="0"/>
          <w:sz w:val="33"/>
          <w:szCs w:val="33"/>
        </w:rPr>
        <w:t>/2</w:t>
      </w:r>
      <w:r w:rsidR="00753D34">
        <w:rPr>
          <w:rFonts w:ascii="Arial" w:hAnsi="Arial"/>
          <w:noProof w:val="0"/>
          <w:sz w:val="33"/>
          <w:szCs w:val="33"/>
        </w:rPr>
        <w:t>4</w:t>
      </w:r>
      <w:r w:rsidRPr="00B66EDA">
        <w:rPr>
          <w:rFonts w:ascii="Arial" w:hAnsi="Arial"/>
          <w:noProof w:val="0"/>
          <w:sz w:val="33"/>
          <w:szCs w:val="33"/>
        </w:rPr>
        <w:t xml:space="preserve"> – 202</w:t>
      </w:r>
      <w:r w:rsidR="00753D34">
        <w:rPr>
          <w:rFonts w:ascii="Arial" w:hAnsi="Arial"/>
          <w:noProof w:val="0"/>
          <w:sz w:val="33"/>
          <w:szCs w:val="33"/>
        </w:rPr>
        <w:t>5</w:t>
      </w:r>
      <w:r w:rsidRPr="00B66EDA">
        <w:rPr>
          <w:rFonts w:ascii="Arial" w:hAnsi="Arial"/>
          <w:noProof w:val="0"/>
          <w:sz w:val="33"/>
          <w:szCs w:val="33"/>
        </w:rPr>
        <w:t>/2</w:t>
      </w:r>
      <w:bookmarkEnd w:id="103"/>
      <w:r w:rsidR="00753D34">
        <w:rPr>
          <w:rFonts w:ascii="Arial" w:hAnsi="Arial"/>
          <w:noProof w:val="0"/>
          <w:sz w:val="33"/>
          <w:szCs w:val="33"/>
        </w:rPr>
        <w:t>6</w:t>
      </w:r>
    </w:p>
    <w:p w14:paraId="76597773" w14:textId="77777777" w:rsidR="00EB796A" w:rsidRPr="00B66EDA" w:rsidRDefault="00A724BF" w:rsidP="005E4307">
      <w:pPr>
        <w:pStyle w:val="BodyText"/>
        <w:spacing w:before="120" w:after="120"/>
        <w:ind w:left="357"/>
        <w:jc w:val="both"/>
        <w:rPr>
          <w:rFonts w:ascii="Arial" w:hAnsi="Arial" w:cs="Arial"/>
          <w:b/>
          <w:sz w:val="20"/>
          <w:szCs w:val="20"/>
          <w:lang w:val="en-GB"/>
        </w:rPr>
      </w:pPr>
      <w:r w:rsidRPr="00B66EDA">
        <w:rPr>
          <w:rFonts w:ascii="Arial" w:hAnsi="Arial" w:cs="Arial"/>
          <w:sz w:val="20"/>
          <w:szCs w:val="20"/>
          <w:lang w:val="en-GB"/>
        </w:rPr>
        <w:t>The Council’s capital expenditure plans are the key driver of treasury management activity. The output of the capital expenditure plans is reflected in the prudential indicators, which are designed to assist members’ overview and confirm capital expenditure plans.</w:t>
      </w:r>
    </w:p>
    <w:p w14:paraId="61486A3D" w14:textId="77777777" w:rsidR="00EB796A" w:rsidRPr="00B66EDA" w:rsidRDefault="00A724BF">
      <w:pPr>
        <w:pStyle w:val="subhead"/>
        <w:rPr>
          <w:noProof w:val="0"/>
          <w:sz w:val="20"/>
          <w:szCs w:val="20"/>
        </w:rPr>
      </w:pPr>
      <w:bookmarkStart w:id="104" w:name="_Toc56008266"/>
      <w:r w:rsidRPr="00B66EDA">
        <w:rPr>
          <w:noProof w:val="0"/>
          <w:sz w:val="20"/>
          <w:szCs w:val="20"/>
        </w:rPr>
        <w:t>Capital expenditure</w:t>
      </w:r>
      <w:bookmarkEnd w:id="104"/>
    </w:p>
    <w:p w14:paraId="3220A2EB" w14:textId="77777777" w:rsidR="00EB796A" w:rsidRDefault="00A724BF" w:rsidP="00036F38">
      <w:pPr>
        <w:pStyle w:val="body"/>
        <w:ind w:left="284"/>
        <w:rPr>
          <w:noProof w:val="0"/>
          <w:spacing w:val="0"/>
          <w:sz w:val="20"/>
          <w:szCs w:val="20"/>
        </w:rPr>
      </w:pPr>
      <w:r w:rsidRPr="00B66EDA">
        <w:rPr>
          <w:noProof w:val="0"/>
          <w:spacing w:val="0"/>
          <w:sz w:val="20"/>
          <w:szCs w:val="20"/>
        </w:rPr>
        <w:t>This prudential indicator is a summary of the Council’s capital expenditure plans, both those agreed previously, and those forming part of this budget cycle.  Members are asked to approve the capital expenditure forecasts:</w:t>
      </w:r>
    </w:p>
    <w:p w14:paraId="2916D568" w14:textId="77777777" w:rsidR="008805D4" w:rsidRDefault="008805D4" w:rsidP="00036F38">
      <w:pPr>
        <w:pStyle w:val="body"/>
        <w:ind w:left="284"/>
        <w:rPr>
          <w:noProof w:val="0"/>
          <w:spacing w:val="0"/>
          <w:sz w:val="20"/>
          <w:szCs w:val="20"/>
        </w:rPr>
      </w:pPr>
    </w:p>
    <w:tbl>
      <w:tblPr>
        <w:tblW w:w="9200" w:type="dxa"/>
        <w:tblLook w:val="04A0" w:firstRow="1" w:lastRow="0" w:firstColumn="1" w:lastColumn="0" w:noHBand="0" w:noVBand="1"/>
      </w:tblPr>
      <w:tblGrid>
        <w:gridCol w:w="2740"/>
        <w:gridCol w:w="1200"/>
        <w:gridCol w:w="1300"/>
        <w:gridCol w:w="1300"/>
        <w:gridCol w:w="1300"/>
        <w:gridCol w:w="1360"/>
      </w:tblGrid>
      <w:tr w:rsidR="00535FDB" w:rsidRPr="00535FDB" w14:paraId="06BE44C2" w14:textId="77777777" w:rsidTr="00535FDB">
        <w:trPr>
          <w:trHeight w:val="315"/>
        </w:trPr>
        <w:tc>
          <w:tcPr>
            <w:tcW w:w="2740" w:type="dxa"/>
            <w:tcBorders>
              <w:top w:val="single" w:sz="4" w:space="0" w:color="auto"/>
              <w:left w:val="single" w:sz="4" w:space="0" w:color="auto"/>
              <w:bottom w:val="single" w:sz="4" w:space="0" w:color="auto"/>
              <w:right w:val="single" w:sz="4" w:space="0" w:color="auto"/>
            </w:tcBorders>
            <w:shd w:val="clear" w:color="000000" w:fill="B3B3B3"/>
            <w:vAlign w:val="center"/>
            <w:hideMark/>
          </w:tcPr>
          <w:p w14:paraId="389AB0A9" w14:textId="77777777" w:rsidR="00535FDB" w:rsidRPr="00535FDB" w:rsidRDefault="00535FDB" w:rsidP="00535FDB">
            <w:pPr>
              <w:rPr>
                <w:rFonts w:cs="Arial"/>
                <w:b/>
                <w:bCs/>
                <w:spacing w:val="0"/>
                <w:sz w:val="22"/>
                <w:szCs w:val="22"/>
                <w:lang w:eastAsia="en-GB"/>
              </w:rPr>
            </w:pPr>
            <w:r w:rsidRPr="00535FDB">
              <w:rPr>
                <w:rFonts w:cs="Arial"/>
                <w:b/>
                <w:bCs/>
                <w:spacing w:val="0"/>
                <w:sz w:val="22"/>
                <w:szCs w:val="22"/>
                <w:lang w:eastAsia="en-GB"/>
              </w:rPr>
              <w:t>Capital expenditure</w:t>
            </w:r>
          </w:p>
        </w:tc>
        <w:tc>
          <w:tcPr>
            <w:tcW w:w="1200" w:type="dxa"/>
            <w:tcBorders>
              <w:top w:val="single" w:sz="4" w:space="0" w:color="auto"/>
              <w:left w:val="nil"/>
              <w:bottom w:val="single" w:sz="4" w:space="0" w:color="auto"/>
              <w:right w:val="single" w:sz="4" w:space="0" w:color="auto"/>
            </w:tcBorders>
            <w:shd w:val="clear" w:color="000000" w:fill="B3B3B3"/>
            <w:vAlign w:val="center"/>
            <w:hideMark/>
          </w:tcPr>
          <w:p w14:paraId="21780AA7"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2021/22</w:t>
            </w:r>
          </w:p>
        </w:tc>
        <w:tc>
          <w:tcPr>
            <w:tcW w:w="1300" w:type="dxa"/>
            <w:tcBorders>
              <w:top w:val="single" w:sz="4" w:space="0" w:color="auto"/>
              <w:left w:val="nil"/>
              <w:bottom w:val="single" w:sz="4" w:space="0" w:color="auto"/>
              <w:right w:val="single" w:sz="4" w:space="0" w:color="auto"/>
            </w:tcBorders>
            <w:shd w:val="clear" w:color="000000" w:fill="B3B3B3"/>
            <w:vAlign w:val="center"/>
            <w:hideMark/>
          </w:tcPr>
          <w:p w14:paraId="153D788B"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2022/23</w:t>
            </w:r>
          </w:p>
        </w:tc>
        <w:tc>
          <w:tcPr>
            <w:tcW w:w="1300" w:type="dxa"/>
            <w:tcBorders>
              <w:top w:val="single" w:sz="4" w:space="0" w:color="auto"/>
              <w:left w:val="nil"/>
              <w:bottom w:val="single" w:sz="4" w:space="0" w:color="auto"/>
              <w:right w:val="single" w:sz="4" w:space="0" w:color="auto"/>
            </w:tcBorders>
            <w:shd w:val="clear" w:color="000000" w:fill="B3B3B3"/>
            <w:vAlign w:val="center"/>
            <w:hideMark/>
          </w:tcPr>
          <w:p w14:paraId="72463819"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2023/24</w:t>
            </w:r>
          </w:p>
        </w:tc>
        <w:tc>
          <w:tcPr>
            <w:tcW w:w="1300" w:type="dxa"/>
            <w:tcBorders>
              <w:top w:val="single" w:sz="4" w:space="0" w:color="auto"/>
              <w:left w:val="nil"/>
              <w:bottom w:val="single" w:sz="4" w:space="0" w:color="auto"/>
              <w:right w:val="single" w:sz="4" w:space="0" w:color="auto"/>
            </w:tcBorders>
            <w:shd w:val="clear" w:color="000000" w:fill="B3B3B3"/>
            <w:vAlign w:val="center"/>
            <w:hideMark/>
          </w:tcPr>
          <w:p w14:paraId="0AE2FB7D"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2024/25</w:t>
            </w:r>
          </w:p>
        </w:tc>
        <w:tc>
          <w:tcPr>
            <w:tcW w:w="1360" w:type="dxa"/>
            <w:tcBorders>
              <w:top w:val="single" w:sz="4" w:space="0" w:color="auto"/>
              <w:left w:val="nil"/>
              <w:bottom w:val="single" w:sz="4" w:space="0" w:color="auto"/>
              <w:right w:val="single" w:sz="4" w:space="0" w:color="auto"/>
            </w:tcBorders>
            <w:shd w:val="clear" w:color="000000" w:fill="B3B3B3"/>
            <w:vAlign w:val="center"/>
            <w:hideMark/>
          </w:tcPr>
          <w:p w14:paraId="40D6AD2C"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2025/26</w:t>
            </w:r>
          </w:p>
        </w:tc>
      </w:tr>
      <w:tr w:rsidR="00535FDB" w:rsidRPr="00535FDB" w14:paraId="152DB6F2" w14:textId="77777777" w:rsidTr="00535FDB">
        <w:trPr>
          <w:trHeight w:val="315"/>
        </w:trPr>
        <w:tc>
          <w:tcPr>
            <w:tcW w:w="2740" w:type="dxa"/>
            <w:tcBorders>
              <w:top w:val="nil"/>
              <w:left w:val="single" w:sz="4" w:space="0" w:color="auto"/>
              <w:bottom w:val="single" w:sz="4" w:space="0" w:color="auto"/>
              <w:right w:val="single" w:sz="4" w:space="0" w:color="auto"/>
            </w:tcBorders>
            <w:shd w:val="clear" w:color="000000" w:fill="B3B3B3"/>
            <w:vAlign w:val="center"/>
            <w:hideMark/>
          </w:tcPr>
          <w:p w14:paraId="4C607CCD" w14:textId="77777777" w:rsidR="00535FDB" w:rsidRPr="00535FDB" w:rsidRDefault="00535FDB" w:rsidP="00535FDB">
            <w:pPr>
              <w:rPr>
                <w:rFonts w:cs="Arial"/>
                <w:b/>
                <w:bCs/>
                <w:spacing w:val="0"/>
                <w:sz w:val="22"/>
                <w:szCs w:val="22"/>
                <w:lang w:eastAsia="en-GB"/>
              </w:rPr>
            </w:pPr>
            <w:r w:rsidRPr="00535FDB">
              <w:rPr>
                <w:rFonts w:cs="Arial"/>
                <w:b/>
                <w:bCs/>
                <w:spacing w:val="0"/>
                <w:sz w:val="22"/>
                <w:szCs w:val="22"/>
                <w:lang w:eastAsia="en-GB"/>
              </w:rPr>
              <w:t>£000</w:t>
            </w:r>
          </w:p>
        </w:tc>
        <w:tc>
          <w:tcPr>
            <w:tcW w:w="1200" w:type="dxa"/>
            <w:tcBorders>
              <w:top w:val="nil"/>
              <w:left w:val="nil"/>
              <w:bottom w:val="single" w:sz="4" w:space="0" w:color="auto"/>
              <w:right w:val="single" w:sz="4" w:space="0" w:color="auto"/>
            </w:tcBorders>
            <w:shd w:val="clear" w:color="000000" w:fill="B3B3B3"/>
            <w:vAlign w:val="center"/>
            <w:hideMark/>
          </w:tcPr>
          <w:p w14:paraId="2CA09266"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Actual</w:t>
            </w:r>
          </w:p>
        </w:tc>
        <w:tc>
          <w:tcPr>
            <w:tcW w:w="1300" w:type="dxa"/>
            <w:tcBorders>
              <w:top w:val="nil"/>
              <w:left w:val="nil"/>
              <w:bottom w:val="single" w:sz="4" w:space="0" w:color="auto"/>
              <w:right w:val="single" w:sz="4" w:space="0" w:color="auto"/>
            </w:tcBorders>
            <w:shd w:val="clear" w:color="000000" w:fill="B3B3B3"/>
            <w:vAlign w:val="center"/>
            <w:hideMark/>
          </w:tcPr>
          <w:p w14:paraId="271D294D"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Estimate</w:t>
            </w:r>
          </w:p>
        </w:tc>
        <w:tc>
          <w:tcPr>
            <w:tcW w:w="1300" w:type="dxa"/>
            <w:tcBorders>
              <w:top w:val="nil"/>
              <w:left w:val="nil"/>
              <w:bottom w:val="single" w:sz="4" w:space="0" w:color="auto"/>
              <w:right w:val="single" w:sz="4" w:space="0" w:color="auto"/>
            </w:tcBorders>
            <w:shd w:val="clear" w:color="000000" w:fill="B3B3B3"/>
            <w:vAlign w:val="center"/>
            <w:hideMark/>
          </w:tcPr>
          <w:p w14:paraId="24C62513"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Estimate</w:t>
            </w:r>
          </w:p>
        </w:tc>
        <w:tc>
          <w:tcPr>
            <w:tcW w:w="1300" w:type="dxa"/>
            <w:tcBorders>
              <w:top w:val="nil"/>
              <w:left w:val="nil"/>
              <w:bottom w:val="single" w:sz="4" w:space="0" w:color="auto"/>
              <w:right w:val="single" w:sz="4" w:space="0" w:color="auto"/>
            </w:tcBorders>
            <w:shd w:val="clear" w:color="000000" w:fill="B3B3B3"/>
            <w:vAlign w:val="center"/>
            <w:hideMark/>
          </w:tcPr>
          <w:p w14:paraId="608902EC"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Estimate</w:t>
            </w:r>
          </w:p>
        </w:tc>
        <w:tc>
          <w:tcPr>
            <w:tcW w:w="1360" w:type="dxa"/>
            <w:tcBorders>
              <w:top w:val="nil"/>
              <w:left w:val="nil"/>
              <w:bottom w:val="single" w:sz="4" w:space="0" w:color="auto"/>
              <w:right w:val="single" w:sz="4" w:space="0" w:color="auto"/>
            </w:tcBorders>
            <w:shd w:val="clear" w:color="000000" w:fill="B3B3B3"/>
            <w:vAlign w:val="center"/>
            <w:hideMark/>
          </w:tcPr>
          <w:p w14:paraId="0341FA58"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Estimate</w:t>
            </w:r>
          </w:p>
        </w:tc>
      </w:tr>
      <w:tr w:rsidR="00535FDB" w:rsidRPr="00535FDB" w14:paraId="5FD64CC6" w14:textId="77777777" w:rsidTr="00535FDB">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15D02581" w14:textId="77777777" w:rsidR="00535FDB" w:rsidRPr="00535FDB" w:rsidRDefault="00535FDB" w:rsidP="00535FDB">
            <w:pPr>
              <w:rPr>
                <w:rFonts w:cs="Arial"/>
                <w:spacing w:val="0"/>
                <w:sz w:val="22"/>
                <w:szCs w:val="22"/>
                <w:lang w:eastAsia="en-GB"/>
              </w:rPr>
            </w:pPr>
            <w:r w:rsidRPr="00535FDB">
              <w:rPr>
                <w:rFonts w:cs="Arial"/>
                <w:spacing w:val="0"/>
                <w:sz w:val="22"/>
                <w:szCs w:val="22"/>
                <w:lang w:eastAsia="en-GB"/>
              </w:rPr>
              <w:t>Strategy &amp; Resources</w:t>
            </w:r>
          </w:p>
        </w:tc>
        <w:tc>
          <w:tcPr>
            <w:tcW w:w="1200" w:type="dxa"/>
            <w:tcBorders>
              <w:top w:val="nil"/>
              <w:left w:val="nil"/>
              <w:bottom w:val="single" w:sz="4" w:space="0" w:color="auto"/>
              <w:right w:val="single" w:sz="4" w:space="0" w:color="auto"/>
            </w:tcBorders>
            <w:shd w:val="clear" w:color="auto" w:fill="auto"/>
            <w:vAlign w:val="center"/>
            <w:hideMark/>
          </w:tcPr>
          <w:p w14:paraId="6D3B8A32"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333</w:t>
            </w:r>
          </w:p>
        </w:tc>
        <w:tc>
          <w:tcPr>
            <w:tcW w:w="1300" w:type="dxa"/>
            <w:tcBorders>
              <w:top w:val="nil"/>
              <w:left w:val="nil"/>
              <w:bottom w:val="single" w:sz="4" w:space="0" w:color="auto"/>
              <w:right w:val="single" w:sz="4" w:space="0" w:color="auto"/>
            </w:tcBorders>
            <w:shd w:val="clear" w:color="auto" w:fill="auto"/>
            <w:vAlign w:val="center"/>
            <w:hideMark/>
          </w:tcPr>
          <w:p w14:paraId="2031932E"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721</w:t>
            </w:r>
          </w:p>
        </w:tc>
        <w:tc>
          <w:tcPr>
            <w:tcW w:w="1300" w:type="dxa"/>
            <w:tcBorders>
              <w:top w:val="nil"/>
              <w:left w:val="nil"/>
              <w:bottom w:val="single" w:sz="4" w:space="0" w:color="auto"/>
              <w:right w:val="single" w:sz="4" w:space="0" w:color="auto"/>
            </w:tcBorders>
            <w:shd w:val="clear" w:color="auto" w:fill="auto"/>
            <w:vAlign w:val="center"/>
            <w:hideMark/>
          </w:tcPr>
          <w:p w14:paraId="28E81EA9"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250</w:t>
            </w:r>
          </w:p>
        </w:tc>
        <w:tc>
          <w:tcPr>
            <w:tcW w:w="1300" w:type="dxa"/>
            <w:tcBorders>
              <w:top w:val="nil"/>
              <w:left w:val="nil"/>
              <w:bottom w:val="single" w:sz="4" w:space="0" w:color="auto"/>
              <w:right w:val="single" w:sz="4" w:space="0" w:color="auto"/>
            </w:tcBorders>
            <w:shd w:val="clear" w:color="auto" w:fill="auto"/>
            <w:vAlign w:val="center"/>
            <w:hideMark/>
          </w:tcPr>
          <w:p w14:paraId="6BECEFCA"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250</w:t>
            </w:r>
          </w:p>
        </w:tc>
        <w:tc>
          <w:tcPr>
            <w:tcW w:w="1360" w:type="dxa"/>
            <w:tcBorders>
              <w:top w:val="nil"/>
              <w:left w:val="nil"/>
              <w:bottom w:val="single" w:sz="4" w:space="0" w:color="auto"/>
              <w:right w:val="single" w:sz="4" w:space="0" w:color="auto"/>
            </w:tcBorders>
            <w:shd w:val="clear" w:color="auto" w:fill="auto"/>
            <w:vAlign w:val="center"/>
            <w:hideMark/>
          </w:tcPr>
          <w:p w14:paraId="7BB813A3"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290</w:t>
            </w:r>
          </w:p>
        </w:tc>
      </w:tr>
      <w:tr w:rsidR="00535FDB" w:rsidRPr="00535FDB" w14:paraId="49344962" w14:textId="77777777" w:rsidTr="00535FDB">
        <w:trPr>
          <w:trHeight w:val="570"/>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3B4C2BCF" w14:textId="77777777" w:rsidR="00535FDB" w:rsidRPr="00535FDB" w:rsidRDefault="00535FDB" w:rsidP="00535FDB">
            <w:pPr>
              <w:rPr>
                <w:rFonts w:cs="Arial"/>
                <w:spacing w:val="0"/>
                <w:sz w:val="22"/>
                <w:szCs w:val="22"/>
                <w:lang w:eastAsia="en-GB"/>
              </w:rPr>
            </w:pPr>
            <w:r w:rsidRPr="00535FDB">
              <w:rPr>
                <w:rFonts w:cs="Arial"/>
                <w:spacing w:val="0"/>
                <w:sz w:val="22"/>
                <w:szCs w:val="22"/>
                <w:lang w:eastAsia="en-GB"/>
              </w:rPr>
              <w:t>Environment &amp; Safe Communities</w:t>
            </w:r>
          </w:p>
        </w:tc>
        <w:tc>
          <w:tcPr>
            <w:tcW w:w="1200" w:type="dxa"/>
            <w:tcBorders>
              <w:top w:val="nil"/>
              <w:left w:val="nil"/>
              <w:bottom w:val="single" w:sz="4" w:space="0" w:color="auto"/>
              <w:right w:val="single" w:sz="4" w:space="0" w:color="auto"/>
            </w:tcBorders>
            <w:shd w:val="clear" w:color="auto" w:fill="auto"/>
            <w:vAlign w:val="center"/>
            <w:hideMark/>
          </w:tcPr>
          <w:p w14:paraId="743982E8"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873</w:t>
            </w:r>
          </w:p>
        </w:tc>
        <w:tc>
          <w:tcPr>
            <w:tcW w:w="1300" w:type="dxa"/>
            <w:tcBorders>
              <w:top w:val="nil"/>
              <w:left w:val="nil"/>
              <w:bottom w:val="single" w:sz="4" w:space="0" w:color="auto"/>
              <w:right w:val="single" w:sz="4" w:space="0" w:color="auto"/>
            </w:tcBorders>
            <w:shd w:val="clear" w:color="auto" w:fill="auto"/>
            <w:vAlign w:val="center"/>
            <w:hideMark/>
          </w:tcPr>
          <w:p w14:paraId="5D5FEEE6"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1,173</w:t>
            </w:r>
          </w:p>
        </w:tc>
        <w:tc>
          <w:tcPr>
            <w:tcW w:w="1300" w:type="dxa"/>
            <w:tcBorders>
              <w:top w:val="nil"/>
              <w:left w:val="nil"/>
              <w:bottom w:val="single" w:sz="4" w:space="0" w:color="auto"/>
              <w:right w:val="single" w:sz="4" w:space="0" w:color="auto"/>
            </w:tcBorders>
            <w:shd w:val="clear" w:color="auto" w:fill="auto"/>
            <w:vAlign w:val="center"/>
            <w:hideMark/>
          </w:tcPr>
          <w:p w14:paraId="445CC7B2"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451</w:t>
            </w:r>
          </w:p>
        </w:tc>
        <w:tc>
          <w:tcPr>
            <w:tcW w:w="1300" w:type="dxa"/>
            <w:tcBorders>
              <w:top w:val="nil"/>
              <w:left w:val="nil"/>
              <w:bottom w:val="single" w:sz="4" w:space="0" w:color="auto"/>
              <w:right w:val="single" w:sz="4" w:space="0" w:color="auto"/>
            </w:tcBorders>
            <w:shd w:val="clear" w:color="auto" w:fill="auto"/>
            <w:vAlign w:val="center"/>
            <w:hideMark/>
          </w:tcPr>
          <w:p w14:paraId="3665BED9"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135</w:t>
            </w:r>
          </w:p>
        </w:tc>
        <w:tc>
          <w:tcPr>
            <w:tcW w:w="1360" w:type="dxa"/>
            <w:tcBorders>
              <w:top w:val="nil"/>
              <w:left w:val="nil"/>
              <w:bottom w:val="single" w:sz="4" w:space="0" w:color="auto"/>
              <w:right w:val="single" w:sz="4" w:space="0" w:color="auto"/>
            </w:tcBorders>
            <w:shd w:val="clear" w:color="auto" w:fill="auto"/>
            <w:vAlign w:val="center"/>
            <w:hideMark/>
          </w:tcPr>
          <w:p w14:paraId="785753BC"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175</w:t>
            </w:r>
          </w:p>
        </w:tc>
      </w:tr>
      <w:tr w:rsidR="00535FDB" w:rsidRPr="00535FDB" w14:paraId="38FD0507" w14:textId="77777777" w:rsidTr="00535FDB">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75F018A1" w14:textId="77777777" w:rsidR="00535FDB" w:rsidRPr="00535FDB" w:rsidRDefault="00535FDB" w:rsidP="00535FDB">
            <w:pPr>
              <w:rPr>
                <w:rFonts w:cs="Arial"/>
                <w:spacing w:val="0"/>
                <w:sz w:val="22"/>
                <w:szCs w:val="22"/>
                <w:lang w:eastAsia="en-GB"/>
              </w:rPr>
            </w:pPr>
            <w:r w:rsidRPr="00535FDB">
              <w:rPr>
                <w:rFonts w:cs="Arial"/>
                <w:spacing w:val="0"/>
                <w:sz w:val="22"/>
                <w:szCs w:val="22"/>
                <w:lang w:eastAsia="en-GB"/>
              </w:rPr>
              <w:t>Community &amp; Wellbeing</w:t>
            </w:r>
          </w:p>
        </w:tc>
        <w:tc>
          <w:tcPr>
            <w:tcW w:w="1200" w:type="dxa"/>
            <w:tcBorders>
              <w:top w:val="nil"/>
              <w:left w:val="nil"/>
              <w:bottom w:val="single" w:sz="4" w:space="0" w:color="auto"/>
              <w:right w:val="single" w:sz="4" w:space="0" w:color="auto"/>
            </w:tcBorders>
            <w:shd w:val="clear" w:color="auto" w:fill="auto"/>
            <w:vAlign w:val="center"/>
            <w:hideMark/>
          </w:tcPr>
          <w:p w14:paraId="16EDC523"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529</w:t>
            </w:r>
          </w:p>
        </w:tc>
        <w:tc>
          <w:tcPr>
            <w:tcW w:w="1300" w:type="dxa"/>
            <w:tcBorders>
              <w:top w:val="nil"/>
              <w:left w:val="nil"/>
              <w:bottom w:val="single" w:sz="4" w:space="0" w:color="auto"/>
              <w:right w:val="single" w:sz="4" w:space="0" w:color="auto"/>
            </w:tcBorders>
            <w:shd w:val="clear" w:color="auto" w:fill="auto"/>
            <w:vAlign w:val="center"/>
            <w:hideMark/>
          </w:tcPr>
          <w:p w14:paraId="3AB091E1"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2,002</w:t>
            </w:r>
          </w:p>
        </w:tc>
        <w:tc>
          <w:tcPr>
            <w:tcW w:w="1300" w:type="dxa"/>
            <w:tcBorders>
              <w:top w:val="nil"/>
              <w:left w:val="nil"/>
              <w:bottom w:val="single" w:sz="4" w:space="0" w:color="auto"/>
              <w:right w:val="single" w:sz="4" w:space="0" w:color="auto"/>
            </w:tcBorders>
            <w:shd w:val="clear" w:color="auto" w:fill="auto"/>
            <w:vAlign w:val="center"/>
            <w:hideMark/>
          </w:tcPr>
          <w:p w14:paraId="22D92720"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1,013</w:t>
            </w:r>
          </w:p>
        </w:tc>
        <w:tc>
          <w:tcPr>
            <w:tcW w:w="1300" w:type="dxa"/>
            <w:tcBorders>
              <w:top w:val="nil"/>
              <w:left w:val="nil"/>
              <w:bottom w:val="single" w:sz="4" w:space="0" w:color="auto"/>
              <w:right w:val="single" w:sz="4" w:space="0" w:color="auto"/>
            </w:tcBorders>
            <w:shd w:val="clear" w:color="auto" w:fill="auto"/>
            <w:vAlign w:val="center"/>
            <w:hideMark/>
          </w:tcPr>
          <w:p w14:paraId="7FBECDEA"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785</w:t>
            </w:r>
          </w:p>
        </w:tc>
        <w:tc>
          <w:tcPr>
            <w:tcW w:w="1360" w:type="dxa"/>
            <w:tcBorders>
              <w:top w:val="nil"/>
              <w:left w:val="nil"/>
              <w:bottom w:val="single" w:sz="4" w:space="0" w:color="auto"/>
              <w:right w:val="single" w:sz="4" w:space="0" w:color="auto"/>
            </w:tcBorders>
            <w:shd w:val="clear" w:color="auto" w:fill="auto"/>
            <w:vAlign w:val="center"/>
            <w:hideMark/>
          </w:tcPr>
          <w:p w14:paraId="55EE7B4C"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885</w:t>
            </w:r>
          </w:p>
        </w:tc>
      </w:tr>
      <w:tr w:rsidR="00535FDB" w:rsidRPr="00535FDB" w14:paraId="64425E5B" w14:textId="77777777" w:rsidTr="00535FDB">
        <w:trPr>
          <w:trHeight w:val="570"/>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5DB69F07" w14:textId="77777777" w:rsidR="00535FDB" w:rsidRPr="00535FDB" w:rsidRDefault="00535FDB" w:rsidP="00535FDB">
            <w:pPr>
              <w:rPr>
                <w:rFonts w:cs="Arial"/>
                <w:spacing w:val="0"/>
                <w:sz w:val="22"/>
                <w:szCs w:val="22"/>
                <w:lang w:eastAsia="en-GB"/>
              </w:rPr>
            </w:pPr>
            <w:r w:rsidRPr="00535FDB">
              <w:rPr>
                <w:rFonts w:cs="Arial"/>
                <w:spacing w:val="0"/>
                <w:sz w:val="22"/>
                <w:szCs w:val="22"/>
                <w:lang w:eastAsia="en-GB"/>
              </w:rPr>
              <w:t>Licensing &amp; Planning Policy</w:t>
            </w:r>
          </w:p>
        </w:tc>
        <w:tc>
          <w:tcPr>
            <w:tcW w:w="1200" w:type="dxa"/>
            <w:tcBorders>
              <w:top w:val="nil"/>
              <w:left w:val="nil"/>
              <w:bottom w:val="single" w:sz="4" w:space="0" w:color="auto"/>
              <w:right w:val="single" w:sz="4" w:space="0" w:color="auto"/>
            </w:tcBorders>
            <w:shd w:val="clear" w:color="auto" w:fill="auto"/>
            <w:vAlign w:val="center"/>
            <w:hideMark/>
          </w:tcPr>
          <w:p w14:paraId="41FFC64E"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c>
          <w:tcPr>
            <w:tcW w:w="1300" w:type="dxa"/>
            <w:tcBorders>
              <w:top w:val="nil"/>
              <w:left w:val="nil"/>
              <w:bottom w:val="single" w:sz="4" w:space="0" w:color="auto"/>
              <w:right w:val="single" w:sz="4" w:space="0" w:color="auto"/>
            </w:tcBorders>
            <w:shd w:val="clear" w:color="auto" w:fill="auto"/>
            <w:vAlign w:val="center"/>
            <w:hideMark/>
          </w:tcPr>
          <w:p w14:paraId="0C67745B"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c>
          <w:tcPr>
            <w:tcW w:w="1300" w:type="dxa"/>
            <w:tcBorders>
              <w:top w:val="nil"/>
              <w:left w:val="nil"/>
              <w:bottom w:val="single" w:sz="4" w:space="0" w:color="auto"/>
              <w:right w:val="single" w:sz="4" w:space="0" w:color="auto"/>
            </w:tcBorders>
            <w:shd w:val="clear" w:color="auto" w:fill="auto"/>
            <w:vAlign w:val="center"/>
            <w:hideMark/>
          </w:tcPr>
          <w:p w14:paraId="77E78E9D"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c>
          <w:tcPr>
            <w:tcW w:w="1300" w:type="dxa"/>
            <w:tcBorders>
              <w:top w:val="nil"/>
              <w:left w:val="nil"/>
              <w:bottom w:val="single" w:sz="4" w:space="0" w:color="auto"/>
              <w:right w:val="single" w:sz="4" w:space="0" w:color="auto"/>
            </w:tcBorders>
            <w:shd w:val="clear" w:color="auto" w:fill="auto"/>
            <w:vAlign w:val="center"/>
            <w:hideMark/>
          </w:tcPr>
          <w:p w14:paraId="095708C9"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c>
          <w:tcPr>
            <w:tcW w:w="1360" w:type="dxa"/>
            <w:tcBorders>
              <w:top w:val="nil"/>
              <w:left w:val="nil"/>
              <w:bottom w:val="single" w:sz="4" w:space="0" w:color="auto"/>
              <w:right w:val="single" w:sz="4" w:space="0" w:color="auto"/>
            </w:tcBorders>
            <w:shd w:val="clear" w:color="auto" w:fill="auto"/>
            <w:vAlign w:val="center"/>
            <w:hideMark/>
          </w:tcPr>
          <w:p w14:paraId="6AF8C249"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r>
      <w:tr w:rsidR="00535FDB" w:rsidRPr="00535FDB" w14:paraId="24E11F38" w14:textId="77777777" w:rsidTr="00535FDB">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612AC25E" w14:textId="77777777" w:rsidR="00535FDB" w:rsidRPr="00535FDB" w:rsidRDefault="00535FDB" w:rsidP="00535FDB">
            <w:pPr>
              <w:rPr>
                <w:rFonts w:cs="Arial"/>
                <w:b/>
                <w:bCs/>
                <w:spacing w:val="0"/>
                <w:sz w:val="22"/>
                <w:szCs w:val="22"/>
                <w:lang w:eastAsia="en-GB"/>
              </w:rPr>
            </w:pPr>
            <w:r w:rsidRPr="00535FDB">
              <w:rPr>
                <w:rFonts w:cs="Arial"/>
                <w:b/>
                <w:bCs/>
                <w:spacing w:val="0"/>
                <w:sz w:val="22"/>
                <w:szCs w:val="22"/>
                <w:lang w:eastAsia="en-GB"/>
              </w:rPr>
              <w:t>Total services</w:t>
            </w:r>
          </w:p>
        </w:tc>
        <w:tc>
          <w:tcPr>
            <w:tcW w:w="1200" w:type="dxa"/>
            <w:tcBorders>
              <w:top w:val="nil"/>
              <w:left w:val="nil"/>
              <w:bottom w:val="single" w:sz="4" w:space="0" w:color="auto"/>
              <w:right w:val="single" w:sz="4" w:space="0" w:color="auto"/>
            </w:tcBorders>
            <w:shd w:val="clear" w:color="auto" w:fill="auto"/>
            <w:vAlign w:val="center"/>
            <w:hideMark/>
          </w:tcPr>
          <w:p w14:paraId="406F6CE9"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1,735</w:t>
            </w:r>
          </w:p>
        </w:tc>
        <w:tc>
          <w:tcPr>
            <w:tcW w:w="1300" w:type="dxa"/>
            <w:tcBorders>
              <w:top w:val="nil"/>
              <w:left w:val="nil"/>
              <w:bottom w:val="single" w:sz="4" w:space="0" w:color="auto"/>
              <w:right w:val="single" w:sz="4" w:space="0" w:color="auto"/>
            </w:tcBorders>
            <w:shd w:val="clear" w:color="auto" w:fill="auto"/>
            <w:vAlign w:val="center"/>
            <w:hideMark/>
          </w:tcPr>
          <w:p w14:paraId="0DB1FB8B"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3,896</w:t>
            </w:r>
          </w:p>
        </w:tc>
        <w:tc>
          <w:tcPr>
            <w:tcW w:w="1300" w:type="dxa"/>
            <w:tcBorders>
              <w:top w:val="nil"/>
              <w:left w:val="nil"/>
              <w:bottom w:val="single" w:sz="4" w:space="0" w:color="auto"/>
              <w:right w:val="single" w:sz="4" w:space="0" w:color="auto"/>
            </w:tcBorders>
            <w:shd w:val="clear" w:color="auto" w:fill="auto"/>
            <w:vAlign w:val="center"/>
            <w:hideMark/>
          </w:tcPr>
          <w:p w14:paraId="000BAF42"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1,714</w:t>
            </w:r>
          </w:p>
        </w:tc>
        <w:tc>
          <w:tcPr>
            <w:tcW w:w="1300" w:type="dxa"/>
            <w:tcBorders>
              <w:top w:val="nil"/>
              <w:left w:val="nil"/>
              <w:bottom w:val="single" w:sz="4" w:space="0" w:color="auto"/>
              <w:right w:val="single" w:sz="4" w:space="0" w:color="auto"/>
            </w:tcBorders>
            <w:shd w:val="clear" w:color="auto" w:fill="auto"/>
            <w:vAlign w:val="center"/>
            <w:hideMark/>
          </w:tcPr>
          <w:p w14:paraId="5B4F2D73"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1,170</w:t>
            </w:r>
          </w:p>
        </w:tc>
        <w:tc>
          <w:tcPr>
            <w:tcW w:w="1360" w:type="dxa"/>
            <w:tcBorders>
              <w:top w:val="nil"/>
              <w:left w:val="nil"/>
              <w:bottom w:val="single" w:sz="4" w:space="0" w:color="auto"/>
              <w:right w:val="single" w:sz="4" w:space="0" w:color="auto"/>
            </w:tcBorders>
            <w:shd w:val="clear" w:color="auto" w:fill="auto"/>
            <w:vAlign w:val="center"/>
            <w:hideMark/>
          </w:tcPr>
          <w:p w14:paraId="078F70A5"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1,350</w:t>
            </w:r>
          </w:p>
        </w:tc>
      </w:tr>
      <w:tr w:rsidR="00535FDB" w:rsidRPr="00535FDB" w14:paraId="4114A9B5" w14:textId="77777777" w:rsidTr="00535FDB">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6B776070" w14:textId="77777777" w:rsidR="00535FDB" w:rsidRPr="00535FDB" w:rsidRDefault="00535FDB" w:rsidP="00535FDB">
            <w:pPr>
              <w:jc w:val="both"/>
              <w:rPr>
                <w:rFonts w:cs="Arial"/>
                <w:spacing w:val="0"/>
                <w:sz w:val="22"/>
                <w:szCs w:val="22"/>
                <w:lang w:eastAsia="en-GB"/>
              </w:rPr>
            </w:pPr>
            <w:r w:rsidRPr="00535FDB">
              <w:rPr>
                <w:rFonts w:cs="Arial"/>
                <w:spacing w:val="0"/>
                <w:sz w:val="22"/>
                <w:szCs w:val="22"/>
                <w:lang w:eastAsia="en-GB"/>
              </w:rPr>
              <w:t>Residential property fund</w:t>
            </w:r>
          </w:p>
        </w:tc>
        <w:tc>
          <w:tcPr>
            <w:tcW w:w="1200" w:type="dxa"/>
            <w:tcBorders>
              <w:top w:val="nil"/>
              <w:left w:val="nil"/>
              <w:bottom w:val="single" w:sz="4" w:space="0" w:color="auto"/>
              <w:right w:val="single" w:sz="4" w:space="0" w:color="auto"/>
            </w:tcBorders>
            <w:shd w:val="clear" w:color="auto" w:fill="auto"/>
            <w:vAlign w:val="center"/>
            <w:hideMark/>
          </w:tcPr>
          <w:p w14:paraId="5DBB9243"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228</w:t>
            </w:r>
          </w:p>
        </w:tc>
        <w:tc>
          <w:tcPr>
            <w:tcW w:w="1300" w:type="dxa"/>
            <w:tcBorders>
              <w:top w:val="nil"/>
              <w:left w:val="nil"/>
              <w:bottom w:val="single" w:sz="4" w:space="0" w:color="auto"/>
              <w:right w:val="single" w:sz="4" w:space="0" w:color="auto"/>
            </w:tcBorders>
            <w:shd w:val="clear" w:color="auto" w:fill="auto"/>
            <w:vAlign w:val="center"/>
            <w:hideMark/>
          </w:tcPr>
          <w:p w14:paraId="7FE6EBA1"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c>
          <w:tcPr>
            <w:tcW w:w="1300" w:type="dxa"/>
            <w:tcBorders>
              <w:top w:val="nil"/>
              <w:left w:val="nil"/>
              <w:bottom w:val="single" w:sz="4" w:space="0" w:color="auto"/>
              <w:right w:val="single" w:sz="4" w:space="0" w:color="auto"/>
            </w:tcBorders>
            <w:shd w:val="clear" w:color="auto" w:fill="auto"/>
            <w:vAlign w:val="center"/>
            <w:hideMark/>
          </w:tcPr>
          <w:p w14:paraId="58EA70C7"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1,017</w:t>
            </w:r>
          </w:p>
        </w:tc>
        <w:tc>
          <w:tcPr>
            <w:tcW w:w="1300" w:type="dxa"/>
            <w:tcBorders>
              <w:top w:val="nil"/>
              <w:left w:val="nil"/>
              <w:bottom w:val="single" w:sz="4" w:space="0" w:color="auto"/>
              <w:right w:val="single" w:sz="4" w:space="0" w:color="auto"/>
            </w:tcBorders>
            <w:shd w:val="clear" w:color="auto" w:fill="auto"/>
            <w:vAlign w:val="center"/>
            <w:hideMark/>
          </w:tcPr>
          <w:p w14:paraId="34F574B6"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c>
          <w:tcPr>
            <w:tcW w:w="1360" w:type="dxa"/>
            <w:tcBorders>
              <w:top w:val="nil"/>
              <w:left w:val="nil"/>
              <w:bottom w:val="single" w:sz="4" w:space="0" w:color="auto"/>
              <w:right w:val="single" w:sz="4" w:space="0" w:color="auto"/>
            </w:tcBorders>
            <w:shd w:val="clear" w:color="auto" w:fill="auto"/>
            <w:vAlign w:val="center"/>
            <w:hideMark/>
          </w:tcPr>
          <w:p w14:paraId="478B2B9B"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r>
      <w:tr w:rsidR="00535FDB" w:rsidRPr="00535FDB" w14:paraId="4B347D36" w14:textId="77777777" w:rsidTr="00535FDB">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50BF5AC5" w14:textId="183544BB" w:rsidR="00535FDB" w:rsidRPr="00535FDB" w:rsidRDefault="00535FDB" w:rsidP="00535FDB">
            <w:pPr>
              <w:jc w:val="both"/>
              <w:rPr>
                <w:rFonts w:cs="Arial"/>
                <w:spacing w:val="0"/>
                <w:sz w:val="22"/>
                <w:szCs w:val="22"/>
                <w:lang w:eastAsia="en-GB"/>
              </w:rPr>
            </w:pPr>
            <w:r w:rsidRPr="00535FDB">
              <w:rPr>
                <w:rFonts w:cs="Arial"/>
                <w:spacing w:val="0"/>
                <w:sz w:val="22"/>
                <w:szCs w:val="22"/>
                <w:lang w:eastAsia="en-GB"/>
              </w:rPr>
              <w:t>Commercial property fund</w:t>
            </w:r>
            <w:r>
              <w:rPr>
                <w:rFonts w:cs="Arial"/>
                <w:spacing w:val="0"/>
                <w:sz w:val="22"/>
                <w:szCs w:val="22"/>
                <w:lang w:eastAsia="en-GB"/>
              </w:rPr>
              <w:t>*</w:t>
            </w:r>
          </w:p>
        </w:tc>
        <w:tc>
          <w:tcPr>
            <w:tcW w:w="1200" w:type="dxa"/>
            <w:tcBorders>
              <w:top w:val="nil"/>
              <w:left w:val="nil"/>
              <w:bottom w:val="single" w:sz="4" w:space="0" w:color="auto"/>
              <w:right w:val="single" w:sz="4" w:space="0" w:color="auto"/>
            </w:tcBorders>
            <w:shd w:val="clear" w:color="auto" w:fill="auto"/>
            <w:vAlign w:val="center"/>
            <w:hideMark/>
          </w:tcPr>
          <w:p w14:paraId="580A257C"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c>
          <w:tcPr>
            <w:tcW w:w="1300" w:type="dxa"/>
            <w:tcBorders>
              <w:top w:val="nil"/>
              <w:left w:val="nil"/>
              <w:bottom w:val="single" w:sz="4" w:space="0" w:color="auto"/>
              <w:right w:val="single" w:sz="4" w:space="0" w:color="auto"/>
            </w:tcBorders>
            <w:shd w:val="clear" w:color="auto" w:fill="auto"/>
            <w:vAlign w:val="center"/>
            <w:hideMark/>
          </w:tcPr>
          <w:p w14:paraId="184CF1CC"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c>
          <w:tcPr>
            <w:tcW w:w="1300" w:type="dxa"/>
            <w:tcBorders>
              <w:top w:val="nil"/>
              <w:left w:val="nil"/>
              <w:bottom w:val="single" w:sz="4" w:space="0" w:color="auto"/>
              <w:right w:val="single" w:sz="4" w:space="0" w:color="auto"/>
            </w:tcBorders>
            <w:shd w:val="clear" w:color="auto" w:fill="auto"/>
            <w:vAlign w:val="center"/>
            <w:hideMark/>
          </w:tcPr>
          <w:p w14:paraId="5AE4DA3A"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49,569</w:t>
            </w:r>
          </w:p>
        </w:tc>
        <w:tc>
          <w:tcPr>
            <w:tcW w:w="1300" w:type="dxa"/>
            <w:tcBorders>
              <w:top w:val="nil"/>
              <w:left w:val="nil"/>
              <w:bottom w:val="single" w:sz="4" w:space="0" w:color="auto"/>
              <w:right w:val="single" w:sz="4" w:space="0" w:color="auto"/>
            </w:tcBorders>
            <w:shd w:val="clear" w:color="auto" w:fill="auto"/>
            <w:vAlign w:val="center"/>
            <w:hideMark/>
          </w:tcPr>
          <w:p w14:paraId="1894C8FA"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c>
          <w:tcPr>
            <w:tcW w:w="1360" w:type="dxa"/>
            <w:tcBorders>
              <w:top w:val="nil"/>
              <w:left w:val="nil"/>
              <w:bottom w:val="single" w:sz="4" w:space="0" w:color="auto"/>
              <w:right w:val="single" w:sz="4" w:space="0" w:color="auto"/>
            </w:tcBorders>
            <w:shd w:val="clear" w:color="auto" w:fill="auto"/>
            <w:vAlign w:val="center"/>
            <w:hideMark/>
          </w:tcPr>
          <w:p w14:paraId="1EEED37F"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r>
      <w:tr w:rsidR="00535FDB" w:rsidRPr="00535FDB" w14:paraId="167456C5" w14:textId="77777777" w:rsidTr="00535FDB">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37B464CC" w14:textId="77777777" w:rsidR="00535FDB" w:rsidRPr="00535FDB" w:rsidRDefault="00535FDB" w:rsidP="00535FDB">
            <w:pPr>
              <w:rPr>
                <w:rFonts w:cs="Arial"/>
                <w:b/>
                <w:bCs/>
                <w:spacing w:val="0"/>
                <w:sz w:val="22"/>
                <w:szCs w:val="22"/>
                <w:lang w:eastAsia="en-GB"/>
              </w:rPr>
            </w:pPr>
            <w:r w:rsidRPr="00535FDB">
              <w:rPr>
                <w:rFonts w:cs="Arial"/>
                <w:b/>
                <w:bCs/>
                <w:spacing w:val="0"/>
                <w:sz w:val="22"/>
                <w:szCs w:val="22"/>
                <w:lang w:eastAsia="en-GB"/>
              </w:rPr>
              <w:t>Total</w:t>
            </w:r>
          </w:p>
        </w:tc>
        <w:tc>
          <w:tcPr>
            <w:tcW w:w="1200" w:type="dxa"/>
            <w:tcBorders>
              <w:top w:val="nil"/>
              <w:left w:val="nil"/>
              <w:bottom w:val="single" w:sz="4" w:space="0" w:color="auto"/>
              <w:right w:val="single" w:sz="4" w:space="0" w:color="auto"/>
            </w:tcBorders>
            <w:shd w:val="clear" w:color="auto" w:fill="auto"/>
            <w:vAlign w:val="center"/>
            <w:hideMark/>
          </w:tcPr>
          <w:p w14:paraId="1E8BBA55"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1,963</w:t>
            </w:r>
          </w:p>
        </w:tc>
        <w:tc>
          <w:tcPr>
            <w:tcW w:w="1300" w:type="dxa"/>
            <w:tcBorders>
              <w:top w:val="nil"/>
              <w:left w:val="nil"/>
              <w:bottom w:val="single" w:sz="4" w:space="0" w:color="auto"/>
              <w:right w:val="single" w:sz="4" w:space="0" w:color="auto"/>
            </w:tcBorders>
            <w:shd w:val="clear" w:color="auto" w:fill="auto"/>
            <w:vAlign w:val="center"/>
            <w:hideMark/>
          </w:tcPr>
          <w:p w14:paraId="717808A5"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3,896</w:t>
            </w:r>
          </w:p>
        </w:tc>
        <w:tc>
          <w:tcPr>
            <w:tcW w:w="1300" w:type="dxa"/>
            <w:tcBorders>
              <w:top w:val="nil"/>
              <w:left w:val="nil"/>
              <w:bottom w:val="single" w:sz="4" w:space="0" w:color="auto"/>
              <w:right w:val="single" w:sz="4" w:space="0" w:color="auto"/>
            </w:tcBorders>
            <w:shd w:val="clear" w:color="auto" w:fill="auto"/>
            <w:vAlign w:val="center"/>
            <w:hideMark/>
          </w:tcPr>
          <w:p w14:paraId="24F0A3DE"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52,300</w:t>
            </w:r>
          </w:p>
        </w:tc>
        <w:tc>
          <w:tcPr>
            <w:tcW w:w="1300" w:type="dxa"/>
            <w:tcBorders>
              <w:top w:val="nil"/>
              <w:left w:val="nil"/>
              <w:bottom w:val="single" w:sz="4" w:space="0" w:color="auto"/>
              <w:right w:val="single" w:sz="4" w:space="0" w:color="auto"/>
            </w:tcBorders>
            <w:shd w:val="clear" w:color="auto" w:fill="auto"/>
            <w:vAlign w:val="center"/>
            <w:hideMark/>
          </w:tcPr>
          <w:p w14:paraId="3ECB544A"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1,170</w:t>
            </w:r>
          </w:p>
        </w:tc>
        <w:tc>
          <w:tcPr>
            <w:tcW w:w="1360" w:type="dxa"/>
            <w:tcBorders>
              <w:top w:val="nil"/>
              <w:left w:val="nil"/>
              <w:bottom w:val="single" w:sz="4" w:space="0" w:color="auto"/>
              <w:right w:val="single" w:sz="4" w:space="0" w:color="auto"/>
            </w:tcBorders>
            <w:shd w:val="clear" w:color="auto" w:fill="auto"/>
            <w:vAlign w:val="center"/>
            <w:hideMark/>
          </w:tcPr>
          <w:p w14:paraId="196D7027"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1,350</w:t>
            </w:r>
          </w:p>
        </w:tc>
      </w:tr>
    </w:tbl>
    <w:p w14:paraId="0B5C2AFF" w14:textId="77777777" w:rsidR="00BA2115" w:rsidRDefault="00BA2115" w:rsidP="00036F38">
      <w:pPr>
        <w:pStyle w:val="body"/>
        <w:ind w:left="284"/>
        <w:rPr>
          <w:noProof w:val="0"/>
          <w:spacing w:val="0"/>
          <w:sz w:val="20"/>
          <w:szCs w:val="20"/>
        </w:rPr>
      </w:pPr>
    </w:p>
    <w:p w14:paraId="69EA3E65" w14:textId="77777777" w:rsidR="00BA2115" w:rsidRPr="00B66EDA" w:rsidRDefault="00BA2115" w:rsidP="00BA2115">
      <w:pPr>
        <w:pStyle w:val="body"/>
        <w:ind w:left="284"/>
        <w:jc w:val="center"/>
        <w:rPr>
          <w:noProof w:val="0"/>
          <w:spacing w:val="0"/>
          <w:sz w:val="20"/>
          <w:szCs w:val="20"/>
        </w:rPr>
      </w:pPr>
    </w:p>
    <w:p w14:paraId="5A6886A6" w14:textId="77777777" w:rsidR="00356AC5" w:rsidRPr="00B66EDA" w:rsidRDefault="00A724BF" w:rsidP="00356AC5">
      <w:pPr>
        <w:pStyle w:val="BodyText"/>
        <w:spacing w:before="120" w:after="120"/>
        <w:ind w:left="357"/>
        <w:jc w:val="both"/>
        <w:rPr>
          <w:rFonts w:ascii="Arial" w:hAnsi="Arial" w:cs="Arial"/>
          <w:sz w:val="20"/>
          <w:szCs w:val="20"/>
          <w:lang w:val="en-GB"/>
        </w:rPr>
      </w:pPr>
      <w:r w:rsidRPr="00B66EDA">
        <w:rPr>
          <w:rFonts w:ascii="Arial" w:hAnsi="Arial" w:cs="Arial"/>
          <w:sz w:val="20"/>
          <w:szCs w:val="20"/>
          <w:lang w:val="en-GB"/>
        </w:rPr>
        <w:t>*</w:t>
      </w:r>
      <w:r w:rsidRPr="00B66EDA">
        <w:rPr>
          <w:sz w:val="22"/>
          <w:szCs w:val="22"/>
        </w:rPr>
        <w:t xml:space="preserve"> </w:t>
      </w:r>
      <w:r w:rsidRPr="00B66EDA">
        <w:rPr>
          <w:rFonts w:ascii="Arial" w:hAnsi="Arial" w:cs="Arial"/>
          <w:sz w:val="20"/>
          <w:szCs w:val="20"/>
          <w:lang w:val="en-GB"/>
        </w:rPr>
        <w:t xml:space="preserve">The Council retains the in-Borough commercial property </w:t>
      </w:r>
      <w:r w:rsidR="00942396">
        <w:rPr>
          <w:rFonts w:ascii="Arial" w:hAnsi="Arial" w:cs="Arial"/>
          <w:sz w:val="20"/>
          <w:szCs w:val="20"/>
          <w:lang w:val="en-GB"/>
        </w:rPr>
        <w:t>investment</w:t>
      </w:r>
      <w:r w:rsidRPr="00B66EDA">
        <w:rPr>
          <w:rFonts w:ascii="Arial" w:hAnsi="Arial" w:cs="Arial"/>
          <w:sz w:val="20"/>
          <w:szCs w:val="20"/>
          <w:lang w:val="en-GB"/>
        </w:rPr>
        <w:t xml:space="preserve"> fund</w:t>
      </w:r>
      <w:r w:rsidR="00942396">
        <w:rPr>
          <w:rFonts w:ascii="Arial" w:hAnsi="Arial" w:cs="Arial"/>
          <w:sz w:val="20"/>
          <w:szCs w:val="20"/>
          <w:lang w:val="en-GB"/>
        </w:rPr>
        <w:t xml:space="preserve"> – for regeneration purposes – </w:t>
      </w:r>
      <w:r w:rsidRPr="00B66EDA">
        <w:rPr>
          <w:rFonts w:ascii="Arial" w:hAnsi="Arial" w:cs="Arial"/>
          <w:sz w:val="20"/>
          <w:szCs w:val="20"/>
          <w:lang w:val="en-GB"/>
        </w:rPr>
        <w:t>which has a remaining balance available for investment of £49.6m, from the original fund balance of £80m. The fund was established by the Council across 2016/17 and 2017/18 and can be financed from prudential borrowing.</w:t>
      </w:r>
    </w:p>
    <w:p w14:paraId="770285F6" w14:textId="77777777" w:rsidR="00356AC5" w:rsidRPr="00B66EDA" w:rsidRDefault="00A724BF" w:rsidP="00356AC5">
      <w:pPr>
        <w:pStyle w:val="BodyText"/>
        <w:spacing w:before="120" w:after="120"/>
        <w:ind w:left="357"/>
        <w:jc w:val="both"/>
        <w:rPr>
          <w:rFonts w:ascii="Arial" w:hAnsi="Arial" w:cs="Arial"/>
          <w:sz w:val="20"/>
          <w:szCs w:val="20"/>
          <w:lang w:val="en-GB"/>
        </w:rPr>
      </w:pPr>
      <w:r w:rsidRPr="00B66EDA">
        <w:rPr>
          <w:rFonts w:ascii="Arial" w:hAnsi="Arial" w:cs="Arial"/>
          <w:sz w:val="20"/>
          <w:szCs w:val="20"/>
          <w:lang w:val="en-GB"/>
        </w:rPr>
        <w:t>For the purposes of forecasting, the full £49.6m balance is projected to be spent in 202</w:t>
      </w:r>
      <w:r w:rsidR="00753D34">
        <w:rPr>
          <w:rFonts w:ascii="Arial" w:hAnsi="Arial" w:cs="Arial"/>
          <w:sz w:val="20"/>
          <w:szCs w:val="20"/>
          <w:lang w:val="en-GB"/>
        </w:rPr>
        <w:t>3</w:t>
      </w:r>
      <w:r w:rsidRPr="00B66EDA">
        <w:rPr>
          <w:rFonts w:ascii="Arial" w:hAnsi="Arial" w:cs="Arial"/>
          <w:sz w:val="20"/>
          <w:szCs w:val="20"/>
          <w:lang w:val="en-GB"/>
        </w:rPr>
        <w:t>/2</w:t>
      </w:r>
      <w:r w:rsidR="00753D34">
        <w:rPr>
          <w:rFonts w:ascii="Arial" w:hAnsi="Arial" w:cs="Arial"/>
          <w:sz w:val="20"/>
          <w:szCs w:val="20"/>
          <w:lang w:val="en-GB"/>
        </w:rPr>
        <w:t>4</w:t>
      </w:r>
      <w:r w:rsidRPr="00B66EDA">
        <w:rPr>
          <w:rFonts w:ascii="Arial" w:hAnsi="Arial" w:cs="Arial"/>
          <w:sz w:val="20"/>
          <w:szCs w:val="20"/>
          <w:lang w:val="en-GB"/>
        </w:rPr>
        <w:t xml:space="preserve">, however, actual expenditure will depend on the timing of when suitable acquisitions are </w:t>
      </w:r>
      <w:r w:rsidRPr="00D04234">
        <w:rPr>
          <w:rFonts w:ascii="Arial" w:hAnsi="Arial" w:cs="Arial"/>
          <w:sz w:val="20"/>
          <w:szCs w:val="20"/>
          <w:lang w:val="en-GB"/>
        </w:rPr>
        <w:t>identified. It is possible that should a suitable property be identified in the current financial year, expenditure will be incurred in 202</w:t>
      </w:r>
      <w:r w:rsidR="00753D34">
        <w:rPr>
          <w:rFonts w:ascii="Arial" w:hAnsi="Arial" w:cs="Arial"/>
          <w:sz w:val="20"/>
          <w:szCs w:val="20"/>
          <w:lang w:val="en-GB"/>
        </w:rPr>
        <w:t>2/23</w:t>
      </w:r>
      <w:r w:rsidRPr="00D04234">
        <w:rPr>
          <w:rFonts w:ascii="Arial" w:hAnsi="Arial" w:cs="Arial"/>
          <w:sz w:val="20"/>
          <w:szCs w:val="20"/>
          <w:lang w:val="en-GB"/>
        </w:rPr>
        <w:t>. This possibility is reflected in the prudential indicators for the operational boundary and authorised debt limit.</w:t>
      </w:r>
    </w:p>
    <w:p w14:paraId="36DA31A4" w14:textId="77777777" w:rsidR="00356AC5" w:rsidRPr="00B66EDA" w:rsidRDefault="00A724BF" w:rsidP="00356AC5">
      <w:pPr>
        <w:pStyle w:val="BodyText"/>
        <w:spacing w:before="120" w:after="120"/>
        <w:ind w:left="357"/>
        <w:jc w:val="both"/>
        <w:rPr>
          <w:rFonts w:ascii="Arial" w:hAnsi="Arial" w:cs="Arial"/>
          <w:i/>
          <w:color w:val="0000FF"/>
          <w:sz w:val="20"/>
          <w:szCs w:val="20"/>
          <w:lang w:val="en-GB"/>
        </w:rPr>
      </w:pPr>
      <w:r w:rsidRPr="00B66EDA">
        <w:rPr>
          <w:rFonts w:ascii="Arial" w:hAnsi="Arial" w:cs="Arial"/>
          <w:sz w:val="20"/>
          <w:szCs w:val="20"/>
          <w:lang w:val="en-GB"/>
        </w:rPr>
        <w:t>Other long-term liabilities - The above financing need excludes other long-term liabilities, such as leasing arrangements that already include borrowing instruments.</w:t>
      </w:r>
    </w:p>
    <w:p w14:paraId="6BAF4368" w14:textId="77777777" w:rsidR="00356AC5" w:rsidRPr="00B66EDA" w:rsidRDefault="00A724BF" w:rsidP="00356AC5">
      <w:pPr>
        <w:pStyle w:val="BodyText"/>
        <w:spacing w:before="120" w:after="120"/>
        <w:ind w:left="357"/>
        <w:jc w:val="both"/>
        <w:rPr>
          <w:rFonts w:ascii="Arial" w:hAnsi="Arial" w:cs="Arial"/>
          <w:sz w:val="20"/>
          <w:szCs w:val="20"/>
          <w:lang w:val="en-GB"/>
        </w:rPr>
      </w:pPr>
      <w:r w:rsidRPr="00B66EDA">
        <w:rPr>
          <w:rFonts w:ascii="Arial" w:hAnsi="Arial" w:cs="Arial"/>
          <w:sz w:val="20"/>
          <w:szCs w:val="20"/>
          <w:lang w:val="en-GB"/>
        </w:rPr>
        <w:t xml:space="preserve">The table below summarises the above capital expenditure plans and how these plans are being financed by capital or revenue resources. Any shortfall of resources results in a funding borrowing need. </w:t>
      </w:r>
    </w:p>
    <w:p w14:paraId="3DB9DD06" w14:textId="77777777" w:rsidR="0002597B" w:rsidRDefault="00A724BF">
      <w:pPr>
        <w:rPr>
          <w:rFonts w:cs="Arial"/>
          <w:spacing w:val="0"/>
        </w:rPr>
      </w:pPr>
      <w:r>
        <w:rPr>
          <w:rFonts w:cs="Arial"/>
        </w:rPr>
        <w:br w:type="page"/>
      </w:r>
    </w:p>
    <w:p w14:paraId="1E610CEB" w14:textId="77777777" w:rsidR="00B36C1A" w:rsidRDefault="00B36C1A" w:rsidP="00425441">
      <w:pPr>
        <w:pStyle w:val="BodyText"/>
        <w:spacing w:before="120" w:after="120"/>
        <w:jc w:val="both"/>
        <w:rPr>
          <w:rFonts w:ascii="Arial" w:hAnsi="Arial" w:cs="Arial"/>
          <w:sz w:val="20"/>
          <w:szCs w:val="20"/>
          <w:lang w:val="en-GB"/>
        </w:rPr>
      </w:pPr>
    </w:p>
    <w:tbl>
      <w:tblPr>
        <w:tblW w:w="9200" w:type="dxa"/>
        <w:tblLook w:val="04A0" w:firstRow="1" w:lastRow="0" w:firstColumn="1" w:lastColumn="0" w:noHBand="0" w:noVBand="1"/>
      </w:tblPr>
      <w:tblGrid>
        <w:gridCol w:w="2740"/>
        <w:gridCol w:w="1200"/>
        <w:gridCol w:w="1300"/>
        <w:gridCol w:w="1300"/>
        <w:gridCol w:w="1300"/>
        <w:gridCol w:w="1360"/>
      </w:tblGrid>
      <w:tr w:rsidR="00535FDB" w:rsidRPr="00535FDB" w14:paraId="10F4417E" w14:textId="77777777" w:rsidTr="00535FDB">
        <w:trPr>
          <w:trHeight w:val="315"/>
        </w:trPr>
        <w:tc>
          <w:tcPr>
            <w:tcW w:w="2740" w:type="dxa"/>
            <w:vMerge w:val="restart"/>
            <w:tcBorders>
              <w:top w:val="single" w:sz="4" w:space="0" w:color="auto"/>
              <w:left w:val="single" w:sz="4" w:space="0" w:color="auto"/>
              <w:bottom w:val="single" w:sz="4" w:space="0" w:color="000000"/>
              <w:right w:val="single" w:sz="4" w:space="0" w:color="auto"/>
            </w:tcBorders>
            <w:shd w:val="clear" w:color="000000" w:fill="B3B3B3"/>
            <w:vAlign w:val="center"/>
            <w:hideMark/>
          </w:tcPr>
          <w:p w14:paraId="12C6BBA1" w14:textId="77777777" w:rsidR="00535FDB" w:rsidRPr="00535FDB" w:rsidRDefault="00535FDB" w:rsidP="00535FDB">
            <w:pPr>
              <w:rPr>
                <w:rFonts w:cs="Arial"/>
                <w:b/>
                <w:bCs/>
                <w:spacing w:val="0"/>
                <w:sz w:val="22"/>
                <w:szCs w:val="22"/>
                <w:lang w:eastAsia="en-GB"/>
              </w:rPr>
            </w:pPr>
            <w:r w:rsidRPr="00535FDB">
              <w:rPr>
                <w:rFonts w:cs="Arial"/>
                <w:b/>
                <w:bCs/>
                <w:spacing w:val="0"/>
                <w:sz w:val="22"/>
                <w:szCs w:val="22"/>
                <w:lang w:eastAsia="en-GB"/>
              </w:rPr>
              <w:t>Capital expenditure</w:t>
            </w:r>
          </w:p>
        </w:tc>
        <w:tc>
          <w:tcPr>
            <w:tcW w:w="1200" w:type="dxa"/>
            <w:tcBorders>
              <w:top w:val="single" w:sz="4" w:space="0" w:color="auto"/>
              <w:left w:val="nil"/>
              <w:bottom w:val="single" w:sz="4" w:space="0" w:color="auto"/>
              <w:right w:val="single" w:sz="4" w:space="0" w:color="auto"/>
            </w:tcBorders>
            <w:shd w:val="clear" w:color="000000" w:fill="B3B3B3"/>
            <w:vAlign w:val="center"/>
            <w:hideMark/>
          </w:tcPr>
          <w:p w14:paraId="6D18CCDA"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2021/22</w:t>
            </w:r>
          </w:p>
        </w:tc>
        <w:tc>
          <w:tcPr>
            <w:tcW w:w="1300" w:type="dxa"/>
            <w:tcBorders>
              <w:top w:val="single" w:sz="4" w:space="0" w:color="auto"/>
              <w:left w:val="nil"/>
              <w:bottom w:val="single" w:sz="4" w:space="0" w:color="auto"/>
              <w:right w:val="single" w:sz="4" w:space="0" w:color="auto"/>
            </w:tcBorders>
            <w:shd w:val="clear" w:color="000000" w:fill="B3B3B3"/>
            <w:vAlign w:val="center"/>
            <w:hideMark/>
          </w:tcPr>
          <w:p w14:paraId="6B77BE54"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2022/23</w:t>
            </w:r>
          </w:p>
        </w:tc>
        <w:tc>
          <w:tcPr>
            <w:tcW w:w="1300" w:type="dxa"/>
            <w:tcBorders>
              <w:top w:val="single" w:sz="4" w:space="0" w:color="auto"/>
              <w:left w:val="nil"/>
              <w:bottom w:val="single" w:sz="4" w:space="0" w:color="auto"/>
              <w:right w:val="single" w:sz="4" w:space="0" w:color="auto"/>
            </w:tcBorders>
            <w:shd w:val="clear" w:color="000000" w:fill="B3B3B3"/>
            <w:vAlign w:val="center"/>
            <w:hideMark/>
          </w:tcPr>
          <w:p w14:paraId="6BCD9586"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2023/24</w:t>
            </w:r>
          </w:p>
        </w:tc>
        <w:tc>
          <w:tcPr>
            <w:tcW w:w="1300" w:type="dxa"/>
            <w:tcBorders>
              <w:top w:val="single" w:sz="4" w:space="0" w:color="auto"/>
              <w:left w:val="nil"/>
              <w:bottom w:val="single" w:sz="4" w:space="0" w:color="auto"/>
              <w:right w:val="single" w:sz="4" w:space="0" w:color="auto"/>
            </w:tcBorders>
            <w:shd w:val="clear" w:color="000000" w:fill="B3B3B3"/>
            <w:vAlign w:val="center"/>
            <w:hideMark/>
          </w:tcPr>
          <w:p w14:paraId="48EE1D01"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2024/25</w:t>
            </w:r>
          </w:p>
        </w:tc>
        <w:tc>
          <w:tcPr>
            <w:tcW w:w="1360" w:type="dxa"/>
            <w:tcBorders>
              <w:top w:val="single" w:sz="4" w:space="0" w:color="auto"/>
              <w:left w:val="nil"/>
              <w:bottom w:val="single" w:sz="4" w:space="0" w:color="auto"/>
              <w:right w:val="single" w:sz="4" w:space="0" w:color="auto"/>
            </w:tcBorders>
            <w:shd w:val="clear" w:color="000000" w:fill="B3B3B3"/>
            <w:vAlign w:val="center"/>
            <w:hideMark/>
          </w:tcPr>
          <w:p w14:paraId="71DB9BC8"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2025/26</w:t>
            </w:r>
          </w:p>
        </w:tc>
      </w:tr>
      <w:tr w:rsidR="00535FDB" w:rsidRPr="00535FDB" w14:paraId="541C0C4C" w14:textId="77777777" w:rsidTr="00535FDB">
        <w:trPr>
          <w:trHeight w:val="315"/>
        </w:trPr>
        <w:tc>
          <w:tcPr>
            <w:tcW w:w="2740" w:type="dxa"/>
            <w:vMerge/>
            <w:tcBorders>
              <w:top w:val="single" w:sz="4" w:space="0" w:color="auto"/>
              <w:left w:val="single" w:sz="4" w:space="0" w:color="auto"/>
              <w:bottom w:val="single" w:sz="4" w:space="0" w:color="000000"/>
              <w:right w:val="single" w:sz="4" w:space="0" w:color="auto"/>
            </w:tcBorders>
            <w:vAlign w:val="center"/>
            <w:hideMark/>
          </w:tcPr>
          <w:p w14:paraId="05813FBD" w14:textId="77777777" w:rsidR="00535FDB" w:rsidRPr="00535FDB" w:rsidRDefault="00535FDB" w:rsidP="00535FDB">
            <w:pPr>
              <w:rPr>
                <w:rFonts w:cs="Arial"/>
                <w:b/>
                <w:bCs/>
                <w:spacing w:val="0"/>
                <w:sz w:val="22"/>
                <w:szCs w:val="22"/>
                <w:lang w:eastAsia="en-GB"/>
              </w:rPr>
            </w:pPr>
          </w:p>
        </w:tc>
        <w:tc>
          <w:tcPr>
            <w:tcW w:w="1200" w:type="dxa"/>
            <w:tcBorders>
              <w:top w:val="nil"/>
              <w:left w:val="nil"/>
              <w:bottom w:val="single" w:sz="4" w:space="0" w:color="auto"/>
              <w:right w:val="single" w:sz="4" w:space="0" w:color="auto"/>
            </w:tcBorders>
            <w:shd w:val="clear" w:color="000000" w:fill="B3B3B3"/>
            <w:vAlign w:val="center"/>
            <w:hideMark/>
          </w:tcPr>
          <w:p w14:paraId="4A76FBA5"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Actual</w:t>
            </w:r>
          </w:p>
        </w:tc>
        <w:tc>
          <w:tcPr>
            <w:tcW w:w="1300" w:type="dxa"/>
            <w:tcBorders>
              <w:top w:val="nil"/>
              <w:left w:val="nil"/>
              <w:bottom w:val="single" w:sz="4" w:space="0" w:color="auto"/>
              <w:right w:val="single" w:sz="4" w:space="0" w:color="auto"/>
            </w:tcBorders>
            <w:shd w:val="clear" w:color="000000" w:fill="B3B3B3"/>
            <w:vAlign w:val="center"/>
            <w:hideMark/>
          </w:tcPr>
          <w:p w14:paraId="51A0B571"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Estimate</w:t>
            </w:r>
          </w:p>
        </w:tc>
        <w:tc>
          <w:tcPr>
            <w:tcW w:w="1300" w:type="dxa"/>
            <w:tcBorders>
              <w:top w:val="nil"/>
              <w:left w:val="nil"/>
              <w:bottom w:val="single" w:sz="4" w:space="0" w:color="auto"/>
              <w:right w:val="single" w:sz="4" w:space="0" w:color="auto"/>
            </w:tcBorders>
            <w:shd w:val="clear" w:color="000000" w:fill="B3B3B3"/>
            <w:vAlign w:val="center"/>
            <w:hideMark/>
          </w:tcPr>
          <w:p w14:paraId="1D5D9B5A"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Estimate</w:t>
            </w:r>
          </w:p>
        </w:tc>
        <w:tc>
          <w:tcPr>
            <w:tcW w:w="1300" w:type="dxa"/>
            <w:tcBorders>
              <w:top w:val="nil"/>
              <w:left w:val="nil"/>
              <w:bottom w:val="single" w:sz="4" w:space="0" w:color="auto"/>
              <w:right w:val="single" w:sz="4" w:space="0" w:color="auto"/>
            </w:tcBorders>
            <w:shd w:val="clear" w:color="000000" w:fill="B3B3B3"/>
            <w:vAlign w:val="center"/>
            <w:hideMark/>
          </w:tcPr>
          <w:p w14:paraId="2B1D835E"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Estimate</w:t>
            </w:r>
          </w:p>
        </w:tc>
        <w:tc>
          <w:tcPr>
            <w:tcW w:w="1360" w:type="dxa"/>
            <w:tcBorders>
              <w:top w:val="nil"/>
              <w:left w:val="nil"/>
              <w:bottom w:val="single" w:sz="4" w:space="0" w:color="auto"/>
              <w:right w:val="single" w:sz="4" w:space="0" w:color="auto"/>
            </w:tcBorders>
            <w:shd w:val="clear" w:color="000000" w:fill="B3B3B3"/>
            <w:vAlign w:val="center"/>
            <w:hideMark/>
          </w:tcPr>
          <w:p w14:paraId="2645856A"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Estimate</w:t>
            </w:r>
          </w:p>
        </w:tc>
      </w:tr>
      <w:tr w:rsidR="00535FDB" w:rsidRPr="00535FDB" w14:paraId="3B0047C9" w14:textId="77777777" w:rsidTr="00535FDB">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5310A2D0" w14:textId="77777777" w:rsidR="00535FDB" w:rsidRPr="00535FDB" w:rsidRDefault="00535FDB" w:rsidP="00535FDB">
            <w:pPr>
              <w:rPr>
                <w:rFonts w:cs="Arial"/>
                <w:b/>
                <w:bCs/>
                <w:spacing w:val="0"/>
                <w:sz w:val="22"/>
                <w:szCs w:val="22"/>
                <w:lang w:eastAsia="en-GB"/>
              </w:rPr>
            </w:pPr>
            <w:r w:rsidRPr="00535FDB">
              <w:rPr>
                <w:rFonts w:cs="Arial"/>
                <w:b/>
                <w:bCs/>
                <w:spacing w:val="0"/>
                <w:sz w:val="22"/>
                <w:szCs w:val="22"/>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14:paraId="4042F249"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£'000</w:t>
            </w:r>
          </w:p>
        </w:tc>
        <w:tc>
          <w:tcPr>
            <w:tcW w:w="1300" w:type="dxa"/>
            <w:tcBorders>
              <w:top w:val="nil"/>
              <w:left w:val="nil"/>
              <w:bottom w:val="single" w:sz="4" w:space="0" w:color="auto"/>
              <w:right w:val="single" w:sz="4" w:space="0" w:color="auto"/>
            </w:tcBorders>
            <w:shd w:val="clear" w:color="auto" w:fill="auto"/>
            <w:vAlign w:val="center"/>
            <w:hideMark/>
          </w:tcPr>
          <w:p w14:paraId="6355A37F"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£'000</w:t>
            </w:r>
          </w:p>
        </w:tc>
        <w:tc>
          <w:tcPr>
            <w:tcW w:w="1300" w:type="dxa"/>
            <w:tcBorders>
              <w:top w:val="nil"/>
              <w:left w:val="nil"/>
              <w:bottom w:val="single" w:sz="4" w:space="0" w:color="auto"/>
              <w:right w:val="single" w:sz="4" w:space="0" w:color="auto"/>
            </w:tcBorders>
            <w:shd w:val="clear" w:color="auto" w:fill="auto"/>
            <w:vAlign w:val="center"/>
            <w:hideMark/>
          </w:tcPr>
          <w:p w14:paraId="676E3C31"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£'000</w:t>
            </w:r>
          </w:p>
        </w:tc>
        <w:tc>
          <w:tcPr>
            <w:tcW w:w="1300" w:type="dxa"/>
            <w:tcBorders>
              <w:top w:val="nil"/>
              <w:left w:val="nil"/>
              <w:bottom w:val="single" w:sz="4" w:space="0" w:color="auto"/>
              <w:right w:val="single" w:sz="4" w:space="0" w:color="auto"/>
            </w:tcBorders>
            <w:shd w:val="clear" w:color="auto" w:fill="auto"/>
            <w:vAlign w:val="center"/>
            <w:hideMark/>
          </w:tcPr>
          <w:p w14:paraId="0B0803B6"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£'000</w:t>
            </w:r>
          </w:p>
        </w:tc>
        <w:tc>
          <w:tcPr>
            <w:tcW w:w="1360" w:type="dxa"/>
            <w:tcBorders>
              <w:top w:val="nil"/>
              <w:left w:val="nil"/>
              <w:bottom w:val="single" w:sz="4" w:space="0" w:color="auto"/>
              <w:right w:val="single" w:sz="4" w:space="0" w:color="auto"/>
            </w:tcBorders>
            <w:shd w:val="clear" w:color="auto" w:fill="auto"/>
            <w:vAlign w:val="center"/>
            <w:hideMark/>
          </w:tcPr>
          <w:p w14:paraId="4D8323C6"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£'000</w:t>
            </w:r>
          </w:p>
        </w:tc>
      </w:tr>
      <w:tr w:rsidR="00535FDB" w:rsidRPr="00535FDB" w14:paraId="4D364043" w14:textId="77777777" w:rsidTr="00535FDB">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14CEB03B" w14:textId="77777777" w:rsidR="00535FDB" w:rsidRPr="00535FDB" w:rsidRDefault="00535FDB" w:rsidP="00535FDB">
            <w:pPr>
              <w:rPr>
                <w:rFonts w:cs="Arial"/>
                <w:spacing w:val="0"/>
                <w:sz w:val="22"/>
                <w:szCs w:val="22"/>
                <w:lang w:eastAsia="en-GB"/>
              </w:rPr>
            </w:pPr>
            <w:r w:rsidRPr="00535FDB">
              <w:rPr>
                <w:rFonts w:cs="Arial"/>
                <w:spacing w:val="0"/>
                <w:sz w:val="22"/>
                <w:szCs w:val="22"/>
                <w:lang w:eastAsia="en-GB"/>
              </w:rPr>
              <w:t>Core capital programme</w:t>
            </w:r>
          </w:p>
        </w:tc>
        <w:tc>
          <w:tcPr>
            <w:tcW w:w="1200" w:type="dxa"/>
            <w:tcBorders>
              <w:top w:val="nil"/>
              <w:left w:val="nil"/>
              <w:bottom w:val="single" w:sz="4" w:space="0" w:color="auto"/>
              <w:right w:val="single" w:sz="4" w:space="0" w:color="auto"/>
            </w:tcBorders>
            <w:shd w:val="clear" w:color="auto" w:fill="auto"/>
            <w:vAlign w:val="center"/>
            <w:hideMark/>
          </w:tcPr>
          <w:p w14:paraId="584B827A"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1,735</w:t>
            </w:r>
          </w:p>
        </w:tc>
        <w:tc>
          <w:tcPr>
            <w:tcW w:w="1300" w:type="dxa"/>
            <w:tcBorders>
              <w:top w:val="nil"/>
              <w:left w:val="nil"/>
              <w:bottom w:val="single" w:sz="4" w:space="0" w:color="auto"/>
              <w:right w:val="single" w:sz="4" w:space="0" w:color="auto"/>
            </w:tcBorders>
            <w:shd w:val="clear" w:color="auto" w:fill="auto"/>
            <w:vAlign w:val="center"/>
            <w:hideMark/>
          </w:tcPr>
          <w:p w14:paraId="63D96141"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3,896</w:t>
            </w:r>
          </w:p>
        </w:tc>
        <w:tc>
          <w:tcPr>
            <w:tcW w:w="1300" w:type="dxa"/>
            <w:tcBorders>
              <w:top w:val="nil"/>
              <w:left w:val="nil"/>
              <w:bottom w:val="single" w:sz="4" w:space="0" w:color="auto"/>
              <w:right w:val="single" w:sz="4" w:space="0" w:color="auto"/>
            </w:tcBorders>
            <w:shd w:val="clear" w:color="auto" w:fill="auto"/>
            <w:vAlign w:val="center"/>
            <w:hideMark/>
          </w:tcPr>
          <w:p w14:paraId="2574D9C6"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1,714</w:t>
            </w:r>
          </w:p>
        </w:tc>
        <w:tc>
          <w:tcPr>
            <w:tcW w:w="1300" w:type="dxa"/>
            <w:tcBorders>
              <w:top w:val="nil"/>
              <w:left w:val="nil"/>
              <w:bottom w:val="single" w:sz="4" w:space="0" w:color="auto"/>
              <w:right w:val="single" w:sz="4" w:space="0" w:color="auto"/>
            </w:tcBorders>
            <w:shd w:val="clear" w:color="auto" w:fill="auto"/>
            <w:vAlign w:val="center"/>
            <w:hideMark/>
          </w:tcPr>
          <w:p w14:paraId="0ED34EA2"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1,170</w:t>
            </w:r>
          </w:p>
        </w:tc>
        <w:tc>
          <w:tcPr>
            <w:tcW w:w="1360" w:type="dxa"/>
            <w:tcBorders>
              <w:top w:val="nil"/>
              <w:left w:val="nil"/>
              <w:bottom w:val="single" w:sz="4" w:space="0" w:color="auto"/>
              <w:right w:val="single" w:sz="4" w:space="0" w:color="auto"/>
            </w:tcBorders>
            <w:shd w:val="clear" w:color="auto" w:fill="auto"/>
            <w:vAlign w:val="center"/>
            <w:hideMark/>
          </w:tcPr>
          <w:p w14:paraId="5B7C5E30"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1,350</w:t>
            </w:r>
          </w:p>
        </w:tc>
      </w:tr>
      <w:tr w:rsidR="00535FDB" w:rsidRPr="00535FDB" w14:paraId="0F5639DB" w14:textId="77777777" w:rsidTr="00535FDB">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354C289A" w14:textId="77777777" w:rsidR="00535FDB" w:rsidRPr="00535FDB" w:rsidRDefault="00535FDB" w:rsidP="00535FDB">
            <w:pPr>
              <w:rPr>
                <w:rFonts w:cs="Arial"/>
                <w:spacing w:val="0"/>
                <w:sz w:val="22"/>
                <w:szCs w:val="22"/>
                <w:lang w:eastAsia="en-GB"/>
              </w:rPr>
            </w:pPr>
            <w:r w:rsidRPr="00535FDB">
              <w:rPr>
                <w:rFonts w:cs="Arial"/>
                <w:spacing w:val="0"/>
                <w:sz w:val="22"/>
                <w:szCs w:val="22"/>
                <w:lang w:eastAsia="en-GB"/>
              </w:rPr>
              <w:t>Residential property fund</w:t>
            </w:r>
          </w:p>
        </w:tc>
        <w:tc>
          <w:tcPr>
            <w:tcW w:w="1200" w:type="dxa"/>
            <w:tcBorders>
              <w:top w:val="nil"/>
              <w:left w:val="nil"/>
              <w:bottom w:val="single" w:sz="4" w:space="0" w:color="auto"/>
              <w:right w:val="single" w:sz="4" w:space="0" w:color="auto"/>
            </w:tcBorders>
            <w:shd w:val="clear" w:color="auto" w:fill="auto"/>
            <w:vAlign w:val="center"/>
            <w:hideMark/>
          </w:tcPr>
          <w:p w14:paraId="45BE62C1"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228</w:t>
            </w:r>
          </w:p>
        </w:tc>
        <w:tc>
          <w:tcPr>
            <w:tcW w:w="1300" w:type="dxa"/>
            <w:tcBorders>
              <w:top w:val="nil"/>
              <w:left w:val="nil"/>
              <w:bottom w:val="single" w:sz="4" w:space="0" w:color="auto"/>
              <w:right w:val="single" w:sz="4" w:space="0" w:color="auto"/>
            </w:tcBorders>
            <w:shd w:val="clear" w:color="auto" w:fill="auto"/>
            <w:vAlign w:val="center"/>
            <w:hideMark/>
          </w:tcPr>
          <w:p w14:paraId="33DF528B"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c>
          <w:tcPr>
            <w:tcW w:w="1300" w:type="dxa"/>
            <w:tcBorders>
              <w:top w:val="nil"/>
              <w:left w:val="nil"/>
              <w:bottom w:val="single" w:sz="4" w:space="0" w:color="auto"/>
              <w:right w:val="single" w:sz="4" w:space="0" w:color="auto"/>
            </w:tcBorders>
            <w:shd w:val="clear" w:color="auto" w:fill="auto"/>
            <w:vAlign w:val="center"/>
            <w:hideMark/>
          </w:tcPr>
          <w:p w14:paraId="196E5C77"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1,017</w:t>
            </w:r>
          </w:p>
        </w:tc>
        <w:tc>
          <w:tcPr>
            <w:tcW w:w="1300" w:type="dxa"/>
            <w:tcBorders>
              <w:top w:val="nil"/>
              <w:left w:val="nil"/>
              <w:bottom w:val="single" w:sz="4" w:space="0" w:color="auto"/>
              <w:right w:val="single" w:sz="4" w:space="0" w:color="auto"/>
            </w:tcBorders>
            <w:shd w:val="clear" w:color="auto" w:fill="auto"/>
            <w:vAlign w:val="center"/>
            <w:hideMark/>
          </w:tcPr>
          <w:p w14:paraId="39DDFD06"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c>
          <w:tcPr>
            <w:tcW w:w="1360" w:type="dxa"/>
            <w:tcBorders>
              <w:top w:val="nil"/>
              <w:left w:val="nil"/>
              <w:bottom w:val="single" w:sz="4" w:space="0" w:color="auto"/>
              <w:right w:val="single" w:sz="4" w:space="0" w:color="auto"/>
            </w:tcBorders>
            <w:shd w:val="clear" w:color="auto" w:fill="auto"/>
            <w:vAlign w:val="center"/>
            <w:hideMark/>
          </w:tcPr>
          <w:p w14:paraId="1440A713"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r>
      <w:tr w:rsidR="00535FDB" w:rsidRPr="00535FDB" w14:paraId="2E2CF0C4" w14:textId="77777777" w:rsidTr="00535FDB">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79F631A4" w14:textId="77777777" w:rsidR="00535FDB" w:rsidRPr="00535FDB" w:rsidRDefault="00535FDB" w:rsidP="00535FDB">
            <w:pPr>
              <w:rPr>
                <w:rFonts w:cs="Arial"/>
                <w:spacing w:val="0"/>
                <w:sz w:val="22"/>
                <w:szCs w:val="22"/>
                <w:lang w:eastAsia="en-GB"/>
              </w:rPr>
            </w:pPr>
            <w:r w:rsidRPr="00535FDB">
              <w:rPr>
                <w:rFonts w:cs="Arial"/>
                <w:spacing w:val="0"/>
                <w:sz w:val="22"/>
                <w:szCs w:val="22"/>
                <w:lang w:eastAsia="en-GB"/>
              </w:rPr>
              <w:t>Commercial property fund</w:t>
            </w:r>
          </w:p>
        </w:tc>
        <w:tc>
          <w:tcPr>
            <w:tcW w:w="1200" w:type="dxa"/>
            <w:tcBorders>
              <w:top w:val="nil"/>
              <w:left w:val="nil"/>
              <w:bottom w:val="single" w:sz="4" w:space="0" w:color="auto"/>
              <w:right w:val="single" w:sz="4" w:space="0" w:color="auto"/>
            </w:tcBorders>
            <w:shd w:val="clear" w:color="auto" w:fill="auto"/>
            <w:vAlign w:val="center"/>
            <w:hideMark/>
          </w:tcPr>
          <w:p w14:paraId="74DB4B6C"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c>
          <w:tcPr>
            <w:tcW w:w="1300" w:type="dxa"/>
            <w:tcBorders>
              <w:top w:val="nil"/>
              <w:left w:val="nil"/>
              <w:bottom w:val="single" w:sz="4" w:space="0" w:color="auto"/>
              <w:right w:val="single" w:sz="4" w:space="0" w:color="auto"/>
            </w:tcBorders>
            <w:shd w:val="clear" w:color="auto" w:fill="auto"/>
            <w:vAlign w:val="center"/>
            <w:hideMark/>
          </w:tcPr>
          <w:p w14:paraId="1BE96F57"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c>
          <w:tcPr>
            <w:tcW w:w="1300" w:type="dxa"/>
            <w:tcBorders>
              <w:top w:val="nil"/>
              <w:left w:val="nil"/>
              <w:bottom w:val="single" w:sz="4" w:space="0" w:color="auto"/>
              <w:right w:val="single" w:sz="4" w:space="0" w:color="auto"/>
            </w:tcBorders>
            <w:shd w:val="clear" w:color="auto" w:fill="auto"/>
            <w:vAlign w:val="center"/>
            <w:hideMark/>
          </w:tcPr>
          <w:p w14:paraId="65610EE1"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49,569</w:t>
            </w:r>
          </w:p>
        </w:tc>
        <w:tc>
          <w:tcPr>
            <w:tcW w:w="1300" w:type="dxa"/>
            <w:tcBorders>
              <w:top w:val="nil"/>
              <w:left w:val="nil"/>
              <w:bottom w:val="single" w:sz="4" w:space="0" w:color="auto"/>
              <w:right w:val="single" w:sz="4" w:space="0" w:color="auto"/>
            </w:tcBorders>
            <w:shd w:val="clear" w:color="auto" w:fill="auto"/>
            <w:vAlign w:val="center"/>
            <w:hideMark/>
          </w:tcPr>
          <w:p w14:paraId="5784C95E"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c>
          <w:tcPr>
            <w:tcW w:w="1360" w:type="dxa"/>
            <w:tcBorders>
              <w:top w:val="nil"/>
              <w:left w:val="nil"/>
              <w:bottom w:val="single" w:sz="4" w:space="0" w:color="auto"/>
              <w:right w:val="single" w:sz="4" w:space="0" w:color="auto"/>
            </w:tcBorders>
            <w:shd w:val="clear" w:color="auto" w:fill="auto"/>
            <w:vAlign w:val="center"/>
            <w:hideMark/>
          </w:tcPr>
          <w:p w14:paraId="1C2E101D"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r>
      <w:tr w:rsidR="00535FDB" w:rsidRPr="00535FDB" w14:paraId="2FF9425A" w14:textId="77777777" w:rsidTr="00535FDB">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0D1D6CF1" w14:textId="77777777" w:rsidR="00535FDB" w:rsidRPr="00535FDB" w:rsidRDefault="00535FDB" w:rsidP="00535FDB">
            <w:pPr>
              <w:rPr>
                <w:rFonts w:cs="Arial"/>
                <w:b/>
                <w:bCs/>
                <w:spacing w:val="0"/>
                <w:sz w:val="22"/>
                <w:szCs w:val="22"/>
                <w:lang w:eastAsia="en-GB"/>
              </w:rPr>
            </w:pPr>
            <w:r w:rsidRPr="00535FDB">
              <w:rPr>
                <w:rFonts w:cs="Arial"/>
                <w:b/>
                <w:bCs/>
                <w:spacing w:val="0"/>
                <w:sz w:val="22"/>
                <w:szCs w:val="22"/>
                <w:lang w:eastAsia="en-GB"/>
              </w:rPr>
              <w:t>Total Expenditure</w:t>
            </w:r>
          </w:p>
        </w:tc>
        <w:tc>
          <w:tcPr>
            <w:tcW w:w="1200" w:type="dxa"/>
            <w:tcBorders>
              <w:top w:val="nil"/>
              <w:left w:val="nil"/>
              <w:bottom w:val="single" w:sz="4" w:space="0" w:color="auto"/>
              <w:right w:val="single" w:sz="4" w:space="0" w:color="auto"/>
            </w:tcBorders>
            <w:shd w:val="clear" w:color="auto" w:fill="auto"/>
            <w:vAlign w:val="center"/>
            <w:hideMark/>
          </w:tcPr>
          <w:p w14:paraId="3CE915F2"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1,963</w:t>
            </w:r>
          </w:p>
        </w:tc>
        <w:tc>
          <w:tcPr>
            <w:tcW w:w="1300" w:type="dxa"/>
            <w:tcBorders>
              <w:top w:val="nil"/>
              <w:left w:val="nil"/>
              <w:bottom w:val="single" w:sz="4" w:space="0" w:color="auto"/>
              <w:right w:val="single" w:sz="4" w:space="0" w:color="auto"/>
            </w:tcBorders>
            <w:shd w:val="clear" w:color="auto" w:fill="auto"/>
            <w:vAlign w:val="center"/>
            <w:hideMark/>
          </w:tcPr>
          <w:p w14:paraId="54FBA7D3"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3,896</w:t>
            </w:r>
          </w:p>
        </w:tc>
        <w:tc>
          <w:tcPr>
            <w:tcW w:w="1300" w:type="dxa"/>
            <w:tcBorders>
              <w:top w:val="nil"/>
              <w:left w:val="nil"/>
              <w:bottom w:val="single" w:sz="4" w:space="0" w:color="auto"/>
              <w:right w:val="single" w:sz="4" w:space="0" w:color="auto"/>
            </w:tcBorders>
            <w:shd w:val="clear" w:color="auto" w:fill="auto"/>
            <w:vAlign w:val="center"/>
            <w:hideMark/>
          </w:tcPr>
          <w:p w14:paraId="55622B5C"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52,300</w:t>
            </w:r>
          </w:p>
        </w:tc>
        <w:tc>
          <w:tcPr>
            <w:tcW w:w="1300" w:type="dxa"/>
            <w:tcBorders>
              <w:top w:val="nil"/>
              <w:left w:val="nil"/>
              <w:bottom w:val="single" w:sz="4" w:space="0" w:color="auto"/>
              <w:right w:val="single" w:sz="4" w:space="0" w:color="auto"/>
            </w:tcBorders>
            <w:shd w:val="clear" w:color="auto" w:fill="auto"/>
            <w:vAlign w:val="center"/>
            <w:hideMark/>
          </w:tcPr>
          <w:p w14:paraId="32263CDE"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1,170</w:t>
            </w:r>
          </w:p>
        </w:tc>
        <w:tc>
          <w:tcPr>
            <w:tcW w:w="1360" w:type="dxa"/>
            <w:tcBorders>
              <w:top w:val="nil"/>
              <w:left w:val="nil"/>
              <w:bottom w:val="single" w:sz="4" w:space="0" w:color="auto"/>
              <w:right w:val="single" w:sz="4" w:space="0" w:color="auto"/>
            </w:tcBorders>
            <w:shd w:val="clear" w:color="auto" w:fill="auto"/>
            <w:vAlign w:val="center"/>
            <w:hideMark/>
          </w:tcPr>
          <w:p w14:paraId="7FF9DF52"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1,350</w:t>
            </w:r>
          </w:p>
        </w:tc>
      </w:tr>
      <w:tr w:rsidR="00535FDB" w:rsidRPr="00535FDB" w14:paraId="3F408187" w14:textId="77777777" w:rsidTr="00535FDB">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08735063" w14:textId="77777777" w:rsidR="00535FDB" w:rsidRPr="00535FDB" w:rsidRDefault="00535FDB" w:rsidP="00535FDB">
            <w:pPr>
              <w:rPr>
                <w:rFonts w:cs="Arial"/>
                <w:b/>
                <w:bCs/>
                <w:spacing w:val="0"/>
                <w:sz w:val="22"/>
                <w:szCs w:val="22"/>
                <w:lang w:eastAsia="en-GB"/>
              </w:rPr>
            </w:pPr>
            <w:r w:rsidRPr="00535FDB">
              <w:rPr>
                <w:rFonts w:cs="Arial"/>
                <w:b/>
                <w:bCs/>
                <w:spacing w:val="0"/>
                <w:sz w:val="22"/>
                <w:szCs w:val="22"/>
                <w:lang w:eastAsia="en-GB"/>
              </w:rPr>
              <w:t>Financed by:</w:t>
            </w:r>
          </w:p>
        </w:tc>
        <w:tc>
          <w:tcPr>
            <w:tcW w:w="1200" w:type="dxa"/>
            <w:tcBorders>
              <w:top w:val="nil"/>
              <w:left w:val="nil"/>
              <w:bottom w:val="single" w:sz="4" w:space="0" w:color="auto"/>
              <w:right w:val="single" w:sz="4" w:space="0" w:color="auto"/>
            </w:tcBorders>
            <w:shd w:val="clear" w:color="auto" w:fill="auto"/>
            <w:vAlign w:val="center"/>
            <w:hideMark/>
          </w:tcPr>
          <w:p w14:paraId="4ADFA9B3"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 </w:t>
            </w:r>
          </w:p>
        </w:tc>
        <w:tc>
          <w:tcPr>
            <w:tcW w:w="1300" w:type="dxa"/>
            <w:tcBorders>
              <w:top w:val="nil"/>
              <w:left w:val="nil"/>
              <w:bottom w:val="single" w:sz="4" w:space="0" w:color="auto"/>
              <w:right w:val="single" w:sz="4" w:space="0" w:color="auto"/>
            </w:tcBorders>
            <w:shd w:val="clear" w:color="auto" w:fill="auto"/>
            <w:vAlign w:val="center"/>
            <w:hideMark/>
          </w:tcPr>
          <w:p w14:paraId="017E19AA"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 </w:t>
            </w:r>
          </w:p>
        </w:tc>
        <w:tc>
          <w:tcPr>
            <w:tcW w:w="1300" w:type="dxa"/>
            <w:tcBorders>
              <w:top w:val="nil"/>
              <w:left w:val="nil"/>
              <w:bottom w:val="single" w:sz="4" w:space="0" w:color="auto"/>
              <w:right w:val="single" w:sz="4" w:space="0" w:color="auto"/>
            </w:tcBorders>
            <w:shd w:val="clear" w:color="auto" w:fill="auto"/>
            <w:vAlign w:val="center"/>
            <w:hideMark/>
          </w:tcPr>
          <w:p w14:paraId="5DAB35DE"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 </w:t>
            </w:r>
          </w:p>
        </w:tc>
        <w:tc>
          <w:tcPr>
            <w:tcW w:w="1300" w:type="dxa"/>
            <w:tcBorders>
              <w:top w:val="nil"/>
              <w:left w:val="nil"/>
              <w:bottom w:val="single" w:sz="4" w:space="0" w:color="auto"/>
              <w:right w:val="single" w:sz="4" w:space="0" w:color="auto"/>
            </w:tcBorders>
            <w:shd w:val="clear" w:color="auto" w:fill="auto"/>
            <w:vAlign w:val="center"/>
            <w:hideMark/>
          </w:tcPr>
          <w:p w14:paraId="0C3E7ED0"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 </w:t>
            </w:r>
          </w:p>
        </w:tc>
        <w:tc>
          <w:tcPr>
            <w:tcW w:w="1360" w:type="dxa"/>
            <w:tcBorders>
              <w:top w:val="nil"/>
              <w:left w:val="nil"/>
              <w:bottom w:val="single" w:sz="4" w:space="0" w:color="auto"/>
              <w:right w:val="single" w:sz="4" w:space="0" w:color="auto"/>
            </w:tcBorders>
            <w:shd w:val="clear" w:color="auto" w:fill="auto"/>
            <w:vAlign w:val="center"/>
            <w:hideMark/>
          </w:tcPr>
          <w:p w14:paraId="5493A57D"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 </w:t>
            </w:r>
          </w:p>
        </w:tc>
      </w:tr>
      <w:tr w:rsidR="00535FDB" w:rsidRPr="00535FDB" w14:paraId="5ACD6E0A" w14:textId="77777777" w:rsidTr="00535FDB">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28B5FF12" w14:textId="77777777" w:rsidR="00535FDB" w:rsidRPr="00535FDB" w:rsidRDefault="00535FDB" w:rsidP="00535FDB">
            <w:pPr>
              <w:rPr>
                <w:rFonts w:cs="Arial"/>
                <w:spacing w:val="0"/>
                <w:sz w:val="22"/>
                <w:szCs w:val="22"/>
                <w:lang w:eastAsia="en-GB"/>
              </w:rPr>
            </w:pPr>
            <w:r w:rsidRPr="00535FDB">
              <w:rPr>
                <w:rFonts w:cs="Arial"/>
                <w:spacing w:val="0"/>
                <w:sz w:val="22"/>
                <w:szCs w:val="22"/>
                <w:lang w:eastAsia="en-GB"/>
              </w:rPr>
              <w:t>Capital receipts</w:t>
            </w:r>
          </w:p>
        </w:tc>
        <w:tc>
          <w:tcPr>
            <w:tcW w:w="1200" w:type="dxa"/>
            <w:tcBorders>
              <w:top w:val="nil"/>
              <w:left w:val="nil"/>
              <w:bottom w:val="single" w:sz="4" w:space="0" w:color="auto"/>
              <w:right w:val="single" w:sz="4" w:space="0" w:color="auto"/>
            </w:tcBorders>
            <w:shd w:val="clear" w:color="auto" w:fill="auto"/>
            <w:vAlign w:val="center"/>
            <w:hideMark/>
          </w:tcPr>
          <w:p w14:paraId="69072603"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229</w:t>
            </w:r>
          </w:p>
        </w:tc>
        <w:tc>
          <w:tcPr>
            <w:tcW w:w="1300" w:type="dxa"/>
            <w:tcBorders>
              <w:top w:val="nil"/>
              <w:left w:val="nil"/>
              <w:bottom w:val="single" w:sz="4" w:space="0" w:color="auto"/>
              <w:right w:val="single" w:sz="4" w:space="0" w:color="auto"/>
            </w:tcBorders>
            <w:shd w:val="clear" w:color="auto" w:fill="auto"/>
            <w:vAlign w:val="center"/>
            <w:hideMark/>
          </w:tcPr>
          <w:p w14:paraId="524A1E13"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973</w:t>
            </w:r>
          </w:p>
        </w:tc>
        <w:tc>
          <w:tcPr>
            <w:tcW w:w="1300" w:type="dxa"/>
            <w:tcBorders>
              <w:top w:val="nil"/>
              <w:left w:val="nil"/>
              <w:bottom w:val="single" w:sz="4" w:space="0" w:color="auto"/>
              <w:right w:val="single" w:sz="4" w:space="0" w:color="auto"/>
            </w:tcBorders>
            <w:shd w:val="clear" w:color="auto" w:fill="auto"/>
            <w:vAlign w:val="center"/>
            <w:hideMark/>
          </w:tcPr>
          <w:p w14:paraId="0070A8B5"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348</w:t>
            </w:r>
          </w:p>
        </w:tc>
        <w:tc>
          <w:tcPr>
            <w:tcW w:w="1300" w:type="dxa"/>
            <w:tcBorders>
              <w:top w:val="nil"/>
              <w:left w:val="nil"/>
              <w:bottom w:val="single" w:sz="4" w:space="0" w:color="auto"/>
              <w:right w:val="single" w:sz="4" w:space="0" w:color="auto"/>
            </w:tcBorders>
            <w:shd w:val="clear" w:color="auto" w:fill="auto"/>
            <w:vAlign w:val="center"/>
            <w:hideMark/>
          </w:tcPr>
          <w:p w14:paraId="7D04C725"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c>
          <w:tcPr>
            <w:tcW w:w="1360" w:type="dxa"/>
            <w:tcBorders>
              <w:top w:val="nil"/>
              <w:left w:val="nil"/>
              <w:bottom w:val="single" w:sz="4" w:space="0" w:color="auto"/>
              <w:right w:val="single" w:sz="4" w:space="0" w:color="auto"/>
            </w:tcBorders>
            <w:shd w:val="clear" w:color="auto" w:fill="auto"/>
            <w:vAlign w:val="center"/>
            <w:hideMark/>
          </w:tcPr>
          <w:p w14:paraId="3B58DAC4"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r>
      <w:tr w:rsidR="00535FDB" w:rsidRPr="00535FDB" w14:paraId="33C55F3C" w14:textId="77777777" w:rsidTr="00535FDB">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1603517F" w14:textId="77777777" w:rsidR="00535FDB" w:rsidRPr="00535FDB" w:rsidRDefault="00535FDB" w:rsidP="00535FDB">
            <w:pPr>
              <w:rPr>
                <w:rFonts w:cs="Arial"/>
                <w:spacing w:val="0"/>
                <w:sz w:val="22"/>
                <w:szCs w:val="22"/>
                <w:lang w:eastAsia="en-GB"/>
              </w:rPr>
            </w:pPr>
            <w:r w:rsidRPr="00535FDB">
              <w:rPr>
                <w:rFonts w:cs="Arial"/>
                <w:spacing w:val="0"/>
                <w:sz w:val="22"/>
                <w:szCs w:val="22"/>
                <w:lang w:eastAsia="en-GB"/>
              </w:rPr>
              <w:t>Capital grants (</w:t>
            </w:r>
            <w:proofErr w:type="spellStart"/>
            <w:r w:rsidRPr="00535FDB">
              <w:rPr>
                <w:rFonts w:cs="Arial"/>
                <w:spacing w:val="0"/>
                <w:sz w:val="22"/>
                <w:szCs w:val="22"/>
                <w:lang w:eastAsia="en-GB"/>
              </w:rPr>
              <w:t>inc</w:t>
            </w:r>
            <w:proofErr w:type="spellEnd"/>
            <w:r w:rsidRPr="00535FDB">
              <w:rPr>
                <w:rFonts w:cs="Arial"/>
                <w:spacing w:val="0"/>
                <w:sz w:val="22"/>
                <w:szCs w:val="22"/>
                <w:lang w:eastAsia="en-GB"/>
              </w:rPr>
              <w:t xml:space="preserve"> DFG)</w:t>
            </w:r>
          </w:p>
        </w:tc>
        <w:tc>
          <w:tcPr>
            <w:tcW w:w="1200" w:type="dxa"/>
            <w:tcBorders>
              <w:top w:val="nil"/>
              <w:left w:val="nil"/>
              <w:bottom w:val="single" w:sz="4" w:space="0" w:color="auto"/>
              <w:right w:val="single" w:sz="4" w:space="0" w:color="auto"/>
            </w:tcBorders>
            <w:shd w:val="clear" w:color="auto" w:fill="auto"/>
            <w:vAlign w:val="center"/>
            <w:hideMark/>
          </w:tcPr>
          <w:p w14:paraId="185A4324"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455</w:t>
            </w:r>
          </w:p>
        </w:tc>
        <w:tc>
          <w:tcPr>
            <w:tcW w:w="1300" w:type="dxa"/>
            <w:tcBorders>
              <w:top w:val="nil"/>
              <w:left w:val="nil"/>
              <w:bottom w:val="single" w:sz="4" w:space="0" w:color="auto"/>
              <w:right w:val="single" w:sz="4" w:space="0" w:color="auto"/>
            </w:tcBorders>
            <w:shd w:val="clear" w:color="auto" w:fill="auto"/>
            <w:vAlign w:val="center"/>
            <w:hideMark/>
          </w:tcPr>
          <w:p w14:paraId="59CE72ED"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1,579</w:t>
            </w:r>
          </w:p>
        </w:tc>
        <w:tc>
          <w:tcPr>
            <w:tcW w:w="1300" w:type="dxa"/>
            <w:tcBorders>
              <w:top w:val="nil"/>
              <w:left w:val="nil"/>
              <w:bottom w:val="single" w:sz="4" w:space="0" w:color="auto"/>
              <w:right w:val="single" w:sz="4" w:space="0" w:color="auto"/>
            </w:tcBorders>
            <w:shd w:val="clear" w:color="auto" w:fill="auto"/>
            <w:vAlign w:val="center"/>
            <w:hideMark/>
          </w:tcPr>
          <w:p w14:paraId="601BC670"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785</w:t>
            </w:r>
          </w:p>
        </w:tc>
        <w:tc>
          <w:tcPr>
            <w:tcW w:w="1300" w:type="dxa"/>
            <w:tcBorders>
              <w:top w:val="nil"/>
              <w:left w:val="nil"/>
              <w:bottom w:val="single" w:sz="4" w:space="0" w:color="auto"/>
              <w:right w:val="single" w:sz="4" w:space="0" w:color="auto"/>
            </w:tcBorders>
            <w:shd w:val="clear" w:color="auto" w:fill="auto"/>
            <w:vAlign w:val="center"/>
            <w:hideMark/>
          </w:tcPr>
          <w:p w14:paraId="24989673"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785</w:t>
            </w:r>
          </w:p>
        </w:tc>
        <w:tc>
          <w:tcPr>
            <w:tcW w:w="1360" w:type="dxa"/>
            <w:tcBorders>
              <w:top w:val="nil"/>
              <w:left w:val="nil"/>
              <w:bottom w:val="single" w:sz="4" w:space="0" w:color="auto"/>
              <w:right w:val="single" w:sz="4" w:space="0" w:color="auto"/>
            </w:tcBorders>
            <w:shd w:val="clear" w:color="auto" w:fill="auto"/>
            <w:vAlign w:val="center"/>
            <w:hideMark/>
          </w:tcPr>
          <w:p w14:paraId="0CD07280"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785</w:t>
            </w:r>
          </w:p>
        </w:tc>
      </w:tr>
      <w:tr w:rsidR="00535FDB" w:rsidRPr="00535FDB" w14:paraId="609A786D" w14:textId="77777777" w:rsidTr="00535FDB">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35E34642" w14:textId="77777777" w:rsidR="00535FDB" w:rsidRPr="00535FDB" w:rsidRDefault="00535FDB" w:rsidP="00535FDB">
            <w:pPr>
              <w:rPr>
                <w:rFonts w:cs="Arial"/>
                <w:spacing w:val="0"/>
                <w:sz w:val="22"/>
                <w:szCs w:val="22"/>
                <w:lang w:eastAsia="en-GB"/>
              </w:rPr>
            </w:pPr>
            <w:r w:rsidRPr="00535FDB">
              <w:rPr>
                <w:rFonts w:cs="Arial"/>
                <w:spacing w:val="0"/>
                <w:sz w:val="22"/>
                <w:szCs w:val="22"/>
                <w:lang w:eastAsia="en-GB"/>
              </w:rPr>
              <w:t>S106 and CIL</w:t>
            </w:r>
          </w:p>
        </w:tc>
        <w:tc>
          <w:tcPr>
            <w:tcW w:w="1200" w:type="dxa"/>
            <w:tcBorders>
              <w:top w:val="nil"/>
              <w:left w:val="nil"/>
              <w:bottom w:val="single" w:sz="4" w:space="0" w:color="auto"/>
              <w:right w:val="single" w:sz="4" w:space="0" w:color="auto"/>
            </w:tcBorders>
            <w:shd w:val="clear" w:color="auto" w:fill="auto"/>
            <w:vAlign w:val="center"/>
            <w:hideMark/>
          </w:tcPr>
          <w:p w14:paraId="6B0B1410"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881</w:t>
            </w:r>
          </w:p>
        </w:tc>
        <w:tc>
          <w:tcPr>
            <w:tcW w:w="1300" w:type="dxa"/>
            <w:tcBorders>
              <w:top w:val="nil"/>
              <w:left w:val="nil"/>
              <w:bottom w:val="single" w:sz="4" w:space="0" w:color="auto"/>
              <w:right w:val="single" w:sz="4" w:space="0" w:color="auto"/>
            </w:tcBorders>
            <w:shd w:val="clear" w:color="auto" w:fill="auto"/>
            <w:vAlign w:val="center"/>
            <w:hideMark/>
          </w:tcPr>
          <w:p w14:paraId="230D8B99"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910</w:t>
            </w:r>
          </w:p>
        </w:tc>
        <w:tc>
          <w:tcPr>
            <w:tcW w:w="1300" w:type="dxa"/>
            <w:tcBorders>
              <w:top w:val="nil"/>
              <w:left w:val="nil"/>
              <w:bottom w:val="single" w:sz="4" w:space="0" w:color="auto"/>
              <w:right w:val="single" w:sz="4" w:space="0" w:color="auto"/>
            </w:tcBorders>
            <w:shd w:val="clear" w:color="auto" w:fill="auto"/>
            <w:vAlign w:val="center"/>
            <w:hideMark/>
          </w:tcPr>
          <w:p w14:paraId="59B121B4"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80</w:t>
            </w:r>
          </w:p>
        </w:tc>
        <w:tc>
          <w:tcPr>
            <w:tcW w:w="1300" w:type="dxa"/>
            <w:tcBorders>
              <w:top w:val="nil"/>
              <w:left w:val="nil"/>
              <w:bottom w:val="single" w:sz="4" w:space="0" w:color="auto"/>
              <w:right w:val="single" w:sz="4" w:space="0" w:color="auto"/>
            </w:tcBorders>
            <w:shd w:val="clear" w:color="auto" w:fill="auto"/>
            <w:vAlign w:val="center"/>
            <w:hideMark/>
          </w:tcPr>
          <w:p w14:paraId="7B66EE46"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c>
          <w:tcPr>
            <w:tcW w:w="1360" w:type="dxa"/>
            <w:tcBorders>
              <w:top w:val="nil"/>
              <w:left w:val="nil"/>
              <w:bottom w:val="single" w:sz="4" w:space="0" w:color="auto"/>
              <w:right w:val="single" w:sz="4" w:space="0" w:color="auto"/>
            </w:tcBorders>
            <w:shd w:val="clear" w:color="auto" w:fill="auto"/>
            <w:vAlign w:val="center"/>
            <w:hideMark/>
          </w:tcPr>
          <w:p w14:paraId="36CFE53F"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r>
      <w:tr w:rsidR="00535FDB" w:rsidRPr="00535FDB" w14:paraId="3319010C" w14:textId="77777777" w:rsidTr="00535FDB">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210AE5EF" w14:textId="77777777" w:rsidR="00535FDB" w:rsidRPr="00535FDB" w:rsidRDefault="00535FDB" w:rsidP="00535FDB">
            <w:pPr>
              <w:rPr>
                <w:rFonts w:cs="Arial"/>
                <w:spacing w:val="0"/>
                <w:sz w:val="22"/>
                <w:szCs w:val="22"/>
                <w:lang w:eastAsia="en-GB"/>
              </w:rPr>
            </w:pPr>
            <w:r w:rsidRPr="00535FDB">
              <w:rPr>
                <w:rFonts w:cs="Arial"/>
                <w:spacing w:val="0"/>
                <w:sz w:val="22"/>
                <w:szCs w:val="22"/>
                <w:lang w:eastAsia="en-GB"/>
              </w:rPr>
              <w:t>Revenue</w:t>
            </w:r>
          </w:p>
        </w:tc>
        <w:tc>
          <w:tcPr>
            <w:tcW w:w="1200" w:type="dxa"/>
            <w:tcBorders>
              <w:top w:val="nil"/>
              <w:left w:val="nil"/>
              <w:bottom w:val="single" w:sz="4" w:space="0" w:color="auto"/>
              <w:right w:val="single" w:sz="4" w:space="0" w:color="auto"/>
            </w:tcBorders>
            <w:shd w:val="clear" w:color="auto" w:fill="auto"/>
            <w:vAlign w:val="center"/>
            <w:hideMark/>
          </w:tcPr>
          <w:p w14:paraId="3A23D0B9"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398</w:t>
            </w:r>
          </w:p>
        </w:tc>
        <w:tc>
          <w:tcPr>
            <w:tcW w:w="1300" w:type="dxa"/>
            <w:tcBorders>
              <w:top w:val="nil"/>
              <w:left w:val="nil"/>
              <w:bottom w:val="single" w:sz="4" w:space="0" w:color="auto"/>
              <w:right w:val="single" w:sz="4" w:space="0" w:color="auto"/>
            </w:tcBorders>
            <w:shd w:val="clear" w:color="auto" w:fill="auto"/>
            <w:vAlign w:val="center"/>
            <w:hideMark/>
          </w:tcPr>
          <w:p w14:paraId="0B0B2D51"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434</w:t>
            </w:r>
          </w:p>
        </w:tc>
        <w:tc>
          <w:tcPr>
            <w:tcW w:w="1300" w:type="dxa"/>
            <w:tcBorders>
              <w:top w:val="nil"/>
              <w:left w:val="nil"/>
              <w:bottom w:val="single" w:sz="4" w:space="0" w:color="auto"/>
              <w:right w:val="single" w:sz="4" w:space="0" w:color="auto"/>
            </w:tcBorders>
            <w:shd w:val="clear" w:color="auto" w:fill="auto"/>
            <w:vAlign w:val="center"/>
            <w:hideMark/>
          </w:tcPr>
          <w:p w14:paraId="46D62350"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1,518</w:t>
            </w:r>
          </w:p>
        </w:tc>
        <w:tc>
          <w:tcPr>
            <w:tcW w:w="1300" w:type="dxa"/>
            <w:tcBorders>
              <w:top w:val="nil"/>
              <w:left w:val="nil"/>
              <w:bottom w:val="single" w:sz="4" w:space="0" w:color="auto"/>
              <w:right w:val="single" w:sz="4" w:space="0" w:color="auto"/>
            </w:tcBorders>
            <w:shd w:val="clear" w:color="auto" w:fill="auto"/>
            <w:vAlign w:val="center"/>
            <w:hideMark/>
          </w:tcPr>
          <w:p w14:paraId="20159852"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385</w:t>
            </w:r>
          </w:p>
        </w:tc>
        <w:tc>
          <w:tcPr>
            <w:tcW w:w="1360" w:type="dxa"/>
            <w:tcBorders>
              <w:top w:val="nil"/>
              <w:left w:val="nil"/>
              <w:bottom w:val="single" w:sz="4" w:space="0" w:color="auto"/>
              <w:right w:val="single" w:sz="4" w:space="0" w:color="auto"/>
            </w:tcBorders>
            <w:shd w:val="clear" w:color="auto" w:fill="auto"/>
            <w:vAlign w:val="center"/>
            <w:hideMark/>
          </w:tcPr>
          <w:p w14:paraId="7781369C"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565</w:t>
            </w:r>
          </w:p>
        </w:tc>
      </w:tr>
      <w:tr w:rsidR="00535FDB" w:rsidRPr="00535FDB" w14:paraId="15B71CC2" w14:textId="77777777" w:rsidTr="00535FDB">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614A054B" w14:textId="77777777" w:rsidR="00535FDB" w:rsidRPr="00535FDB" w:rsidRDefault="00535FDB" w:rsidP="00535FDB">
            <w:pPr>
              <w:rPr>
                <w:rFonts w:cs="Arial"/>
                <w:b/>
                <w:bCs/>
                <w:spacing w:val="0"/>
                <w:sz w:val="22"/>
                <w:szCs w:val="22"/>
                <w:lang w:eastAsia="en-GB"/>
              </w:rPr>
            </w:pPr>
            <w:r w:rsidRPr="00535FDB">
              <w:rPr>
                <w:rFonts w:cs="Arial"/>
                <w:b/>
                <w:bCs/>
                <w:spacing w:val="0"/>
                <w:sz w:val="22"/>
                <w:szCs w:val="22"/>
                <w:lang w:eastAsia="en-GB"/>
              </w:rPr>
              <w:t>Total Financing</w:t>
            </w:r>
          </w:p>
        </w:tc>
        <w:tc>
          <w:tcPr>
            <w:tcW w:w="1200" w:type="dxa"/>
            <w:tcBorders>
              <w:top w:val="nil"/>
              <w:left w:val="nil"/>
              <w:bottom w:val="single" w:sz="4" w:space="0" w:color="auto"/>
              <w:right w:val="single" w:sz="4" w:space="0" w:color="auto"/>
            </w:tcBorders>
            <w:shd w:val="clear" w:color="auto" w:fill="auto"/>
            <w:vAlign w:val="center"/>
            <w:hideMark/>
          </w:tcPr>
          <w:p w14:paraId="6FBA0993"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1,963</w:t>
            </w:r>
          </w:p>
        </w:tc>
        <w:tc>
          <w:tcPr>
            <w:tcW w:w="1300" w:type="dxa"/>
            <w:tcBorders>
              <w:top w:val="nil"/>
              <w:left w:val="nil"/>
              <w:bottom w:val="single" w:sz="4" w:space="0" w:color="auto"/>
              <w:right w:val="single" w:sz="4" w:space="0" w:color="auto"/>
            </w:tcBorders>
            <w:shd w:val="clear" w:color="auto" w:fill="auto"/>
            <w:vAlign w:val="center"/>
            <w:hideMark/>
          </w:tcPr>
          <w:p w14:paraId="4F0E4BDB"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3,896</w:t>
            </w:r>
          </w:p>
        </w:tc>
        <w:tc>
          <w:tcPr>
            <w:tcW w:w="1300" w:type="dxa"/>
            <w:tcBorders>
              <w:top w:val="nil"/>
              <w:left w:val="nil"/>
              <w:bottom w:val="single" w:sz="4" w:space="0" w:color="auto"/>
              <w:right w:val="single" w:sz="4" w:space="0" w:color="auto"/>
            </w:tcBorders>
            <w:shd w:val="clear" w:color="auto" w:fill="auto"/>
            <w:vAlign w:val="center"/>
            <w:hideMark/>
          </w:tcPr>
          <w:p w14:paraId="7280E959"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2,731</w:t>
            </w:r>
          </w:p>
        </w:tc>
        <w:tc>
          <w:tcPr>
            <w:tcW w:w="1300" w:type="dxa"/>
            <w:tcBorders>
              <w:top w:val="nil"/>
              <w:left w:val="nil"/>
              <w:bottom w:val="single" w:sz="4" w:space="0" w:color="auto"/>
              <w:right w:val="single" w:sz="4" w:space="0" w:color="auto"/>
            </w:tcBorders>
            <w:shd w:val="clear" w:color="auto" w:fill="auto"/>
            <w:vAlign w:val="center"/>
            <w:hideMark/>
          </w:tcPr>
          <w:p w14:paraId="5684DE89"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1,170</w:t>
            </w:r>
          </w:p>
        </w:tc>
        <w:tc>
          <w:tcPr>
            <w:tcW w:w="1360" w:type="dxa"/>
            <w:tcBorders>
              <w:top w:val="nil"/>
              <w:left w:val="nil"/>
              <w:bottom w:val="single" w:sz="4" w:space="0" w:color="auto"/>
              <w:right w:val="single" w:sz="4" w:space="0" w:color="auto"/>
            </w:tcBorders>
            <w:shd w:val="clear" w:color="auto" w:fill="auto"/>
            <w:vAlign w:val="center"/>
            <w:hideMark/>
          </w:tcPr>
          <w:p w14:paraId="425A1A7E"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1,350</w:t>
            </w:r>
          </w:p>
        </w:tc>
      </w:tr>
      <w:tr w:rsidR="00535FDB" w:rsidRPr="00535FDB" w14:paraId="0053163E" w14:textId="77777777" w:rsidTr="00535FDB">
        <w:trPr>
          <w:trHeight w:val="600"/>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2CD6EECF" w14:textId="77777777" w:rsidR="00535FDB" w:rsidRPr="00535FDB" w:rsidRDefault="00535FDB" w:rsidP="00535FDB">
            <w:pPr>
              <w:rPr>
                <w:rFonts w:cs="Arial"/>
                <w:b/>
                <w:bCs/>
                <w:spacing w:val="0"/>
                <w:sz w:val="22"/>
                <w:szCs w:val="22"/>
                <w:lang w:eastAsia="en-GB"/>
              </w:rPr>
            </w:pPr>
            <w:r w:rsidRPr="00535FDB">
              <w:rPr>
                <w:rFonts w:cs="Arial"/>
                <w:b/>
                <w:bCs/>
                <w:spacing w:val="0"/>
                <w:sz w:val="22"/>
                <w:szCs w:val="22"/>
                <w:lang w:eastAsia="en-GB"/>
              </w:rPr>
              <w:t>Net financing need for the year</w:t>
            </w:r>
          </w:p>
        </w:tc>
        <w:tc>
          <w:tcPr>
            <w:tcW w:w="1200" w:type="dxa"/>
            <w:tcBorders>
              <w:top w:val="nil"/>
              <w:left w:val="nil"/>
              <w:bottom w:val="single" w:sz="4" w:space="0" w:color="auto"/>
              <w:right w:val="single" w:sz="4" w:space="0" w:color="auto"/>
            </w:tcBorders>
            <w:shd w:val="clear" w:color="auto" w:fill="auto"/>
            <w:vAlign w:val="center"/>
            <w:hideMark/>
          </w:tcPr>
          <w:p w14:paraId="4C9434BE"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0</w:t>
            </w:r>
          </w:p>
        </w:tc>
        <w:tc>
          <w:tcPr>
            <w:tcW w:w="1300" w:type="dxa"/>
            <w:tcBorders>
              <w:top w:val="nil"/>
              <w:left w:val="nil"/>
              <w:bottom w:val="single" w:sz="4" w:space="0" w:color="auto"/>
              <w:right w:val="single" w:sz="4" w:space="0" w:color="auto"/>
            </w:tcBorders>
            <w:shd w:val="clear" w:color="auto" w:fill="auto"/>
            <w:vAlign w:val="center"/>
            <w:hideMark/>
          </w:tcPr>
          <w:p w14:paraId="6CB84A0B"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0</w:t>
            </w:r>
          </w:p>
        </w:tc>
        <w:tc>
          <w:tcPr>
            <w:tcW w:w="1300" w:type="dxa"/>
            <w:tcBorders>
              <w:top w:val="nil"/>
              <w:left w:val="nil"/>
              <w:bottom w:val="single" w:sz="4" w:space="0" w:color="auto"/>
              <w:right w:val="single" w:sz="4" w:space="0" w:color="auto"/>
            </w:tcBorders>
            <w:shd w:val="clear" w:color="auto" w:fill="auto"/>
            <w:vAlign w:val="center"/>
            <w:hideMark/>
          </w:tcPr>
          <w:p w14:paraId="74FD6CD9"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49,569</w:t>
            </w:r>
          </w:p>
        </w:tc>
        <w:tc>
          <w:tcPr>
            <w:tcW w:w="1300" w:type="dxa"/>
            <w:tcBorders>
              <w:top w:val="nil"/>
              <w:left w:val="nil"/>
              <w:bottom w:val="single" w:sz="4" w:space="0" w:color="auto"/>
              <w:right w:val="single" w:sz="4" w:space="0" w:color="auto"/>
            </w:tcBorders>
            <w:shd w:val="clear" w:color="auto" w:fill="auto"/>
            <w:vAlign w:val="center"/>
            <w:hideMark/>
          </w:tcPr>
          <w:p w14:paraId="3945AD8E"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0</w:t>
            </w:r>
          </w:p>
        </w:tc>
        <w:tc>
          <w:tcPr>
            <w:tcW w:w="1360" w:type="dxa"/>
            <w:tcBorders>
              <w:top w:val="nil"/>
              <w:left w:val="nil"/>
              <w:bottom w:val="single" w:sz="4" w:space="0" w:color="auto"/>
              <w:right w:val="single" w:sz="4" w:space="0" w:color="auto"/>
            </w:tcBorders>
            <w:shd w:val="clear" w:color="auto" w:fill="auto"/>
            <w:vAlign w:val="center"/>
            <w:hideMark/>
          </w:tcPr>
          <w:p w14:paraId="411FE9A4"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0</w:t>
            </w:r>
          </w:p>
        </w:tc>
      </w:tr>
    </w:tbl>
    <w:p w14:paraId="64D91206" w14:textId="77777777" w:rsidR="00B36C1A" w:rsidRPr="00B66EDA" w:rsidRDefault="00B36C1A" w:rsidP="006912D0">
      <w:pPr>
        <w:pStyle w:val="BodyText"/>
        <w:spacing w:before="120" w:after="120"/>
        <w:ind w:left="357"/>
        <w:jc w:val="both"/>
        <w:rPr>
          <w:rFonts w:ascii="Arial" w:hAnsi="Arial" w:cs="Arial"/>
          <w:color w:val="0000FF"/>
          <w:sz w:val="20"/>
          <w:szCs w:val="20"/>
          <w:lang w:val="en-GB"/>
        </w:rPr>
      </w:pPr>
    </w:p>
    <w:p w14:paraId="769567FD" w14:textId="77777777" w:rsidR="00EB796A" w:rsidRPr="00B66EDA" w:rsidRDefault="00A724BF" w:rsidP="00BB1AEF">
      <w:pPr>
        <w:pStyle w:val="subhead"/>
        <w:ind w:left="357" w:hanging="357"/>
        <w:rPr>
          <w:noProof w:val="0"/>
          <w:sz w:val="20"/>
          <w:szCs w:val="20"/>
        </w:rPr>
      </w:pPr>
      <w:bookmarkStart w:id="105" w:name="_Toc56008268"/>
      <w:r w:rsidRPr="00B66EDA">
        <w:rPr>
          <w:noProof w:val="0"/>
          <w:sz w:val="20"/>
          <w:szCs w:val="20"/>
        </w:rPr>
        <w:t>The Council’s borrowing need (the Capital Financing Requirement)</w:t>
      </w:r>
      <w:bookmarkEnd w:id="105"/>
    </w:p>
    <w:p w14:paraId="5CC33FC2" w14:textId="77777777" w:rsidR="00EB796A" w:rsidRPr="00B66EDA" w:rsidRDefault="00A724BF" w:rsidP="005E4307">
      <w:pPr>
        <w:pStyle w:val="BodyText"/>
        <w:spacing w:before="120" w:after="120"/>
        <w:ind w:left="357"/>
        <w:jc w:val="both"/>
        <w:rPr>
          <w:rFonts w:ascii="Arial" w:hAnsi="Arial" w:cs="Arial"/>
          <w:sz w:val="20"/>
          <w:szCs w:val="20"/>
          <w:lang w:val="en-GB"/>
        </w:rPr>
      </w:pPr>
      <w:r w:rsidRPr="00B66EDA">
        <w:rPr>
          <w:rFonts w:ascii="Arial" w:hAnsi="Arial" w:cs="Arial"/>
          <w:sz w:val="20"/>
          <w:szCs w:val="20"/>
          <w:lang w:val="en-GB"/>
        </w:rPr>
        <w:t xml:space="preserve">The second prudential indicator is the Council’s Capital Financing Requirement (CFR).  The CFR is simply the total historic outstanding capital expenditure which has not yet been paid for from either revenue or capital resources. It is essentially a measure of the Council’s indebtedness and so its underlying borrowing need.  Any capital expenditure above, which has not immediately been paid for through a revenue or capital resource, will increase the CFR.  </w:t>
      </w:r>
    </w:p>
    <w:p w14:paraId="4971D037" w14:textId="77777777" w:rsidR="00EB796A" w:rsidRPr="00B66EDA" w:rsidRDefault="00A724BF" w:rsidP="005E4307">
      <w:pPr>
        <w:pStyle w:val="BodyText"/>
        <w:spacing w:before="120" w:after="120"/>
        <w:ind w:left="357"/>
        <w:jc w:val="both"/>
        <w:rPr>
          <w:rFonts w:ascii="Arial" w:hAnsi="Arial" w:cs="Arial"/>
          <w:sz w:val="20"/>
          <w:szCs w:val="20"/>
          <w:lang w:val="en-GB"/>
        </w:rPr>
      </w:pPr>
      <w:r w:rsidRPr="00B66EDA">
        <w:rPr>
          <w:rFonts w:ascii="Arial" w:hAnsi="Arial" w:cs="Arial"/>
          <w:sz w:val="20"/>
          <w:szCs w:val="20"/>
          <w:lang w:val="en-GB"/>
        </w:rPr>
        <w:t>The CFR does not increase indefinitely, as the minimum revenue provision (MRP) is a statutory annual revenue charge which broadly reduces the indebtedness in line with each asset’s life, and so charges the economic consumption of capital assets as they are used.</w:t>
      </w:r>
    </w:p>
    <w:p w14:paraId="2E4DA68C" w14:textId="77777777" w:rsidR="00EB796A" w:rsidRPr="00B66EDA" w:rsidRDefault="00A724BF" w:rsidP="0002597B">
      <w:pPr>
        <w:pStyle w:val="BodyText"/>
        <w:spacing w:before="120" w:after="120"/>
        <w:ind w:left="357"/>
        <w:jc w:val="both"/>
        <w:rPr>
          <w:rFonts w:ascii="Arial" w:hAnsi="Arial" w:cs="Arial"/>
          <w:sz w:val="20"/>
          <w:szCs w:val="20"/>
          <w:lang w:val="en-GB"/>
        </w:rPr>
      </w:pPr>
      <w:r w:rsidRPr="00B66EDA">
        <w:rPr>
          <w:rFonts w:ascii="Arial" w:hAnsi="Arial" w:cs="Arial"/>
          <w:color w:val="000000"/>
          <w:sz w:val="20"/>
          <w:szCs w:val="20"/>
          <w:lang w:val="en-GB"/>
        </w:rPr>
        <w:t>The CFR includes any other long-term liabilities (</w:t>
      </w:r>
      <w:proofErr w:type="gramStart"/>
      <w:r w:rsidRPr="00B66EDA">
        <w:rPr>
          <w:rFonts w:ascii="Arial" w:hAnsi="Arial" w:cs="Arial"/>
          <w:color w:val="000000"/>
          <w:sz w:val="20"/>
          <w:szCs w:val="20"/>
          <w:lang w:val="en-GB"/>
        </w:rPr>
        <w:t>e.g.</w:t>
      </w:r>
      <w:proofErr w:type="gramEnd"/>
      <w:r w:rsidRPr="00B66EDA">
        <w:rPr>
          <w:rFonts w:ascii="Arial" w:hAnsi="Arial" w:cs="Arial"/>
          <w:color w:val="000000"/>
          <w:sz w:val="20"/>
          <w:szCs w:val="20"/>
          <w:lang w:val="en-GB"/>
        </w:rPr>
        <w:t xml:space="preserve"> finance leases). Whilst these increase the CFR, and therefore the Council’s borrowing requirement, these types of </w:t>
      </w:r>
      <w:proofErr w:type="gramStart"/>
      <w:r w:rsidRPr="00B66EDA">
        <w:rPr>
          <w:rFonts w:ascii="Arial" w:hAnsi="Arial" w:cs="Arial"/>
          <w:color w:val="000000"/>
          <w:sz w:val="20"/>
          <w:szCs w:val="20"/>
          <w:lang w:val="en-GB"/>
        </w:rPr>
        <w:t>scheme</w:t>
      </w:r>
      <w:proofErr w:type="gramEnd"/>
      <w:r w:rsidRPr="00B66EDA">
        <w:rPr>
          <w:rFonts w:ascii="Arial" w:hAnsi="Arial" w:cs="Arial"/>
          <w:color w:val="000000"/>
          <w:sz w:val="20"/>
          <w:szCs w:val="20"/>
          <w:lang w:val="en-GB"/>
        </w:rPr>
        <w:t xml:space="preserve"> include a borrowing facility by the lease provider and so the Council is not required to separately borrow for these schemes. The Council currently </w:t>
      </w:r>
      <w:r w:rsidRPr="00B51040">
        <w:rPr>
          <w:rFonts w:ascii="Arial" w:hAnsi="Arial" w:cs="Arial"/>
          <w:color w:val="000000"/>
          <w:sz w:val="20"/>
          <w:szCs w:val="20"/>
          <w:lang w:val="en-GB"/>
        </w:rPr>
        <w:t>has £</w:t>
      </w:r>
      <w:r w:rsidR="008805D4">
        <w:rPr>
          <w:rFonts w:ascii="Arial" w:hAnsi="Arial" w:cs="Arial"/>
          <w:color w:val="000000"/>
          <w:sz w:val="20"/>
          <w:szCs w:val="20"/>
          <w:lang w:val="en-GB"/>
        </w:rPr>
        <w:t>2.287m</w:t>
      </w:r>
      <w:r w:rsidRPr="00B51040">
        <w:rPr>
          <w:rFonts w:ascii="Arial" w:hAnsi="Arial" w:cs="Arial"/>
          <w:color w:val="000000"/>
          <w:sz w:val="20"/>
          <w:szCs w:val="20"/>
          <w:lang w:val="en-GB"/>
        </w:rPr>
        <w:t xml:space="preserve"> of</w:t>
      </w:r>
      <w:r w:rsidRPr="00B66EDA">
        <w:rPr>
          <w:rFonts w:ascii="Arial" w:hAnsi="Arial" w:cs="Arial"/>
          <w:color w:val="000000"/>
          <w:sz w:val="20"/>
          <w:szCs w:val="20"/>
          <w:lang w:val="en-GB"/>
        </w:rPr>
        <w:t xml:space="preserve"> such </w:t>
      </w:r>
      <w:r w:rsidR="00753D34">
        <w:rPr>
          <w:rFonts w:ascii="Arial" w:hAnsi="Arial" w:cs="Arial"/>
          <w:color w:val="000000"/>
          <w:sz w:val="20"/>
          <w:szCs w:val="20"/>
          <w:lang w:val="en-GB"/>
        </w:rPr>
        <w:t>assets</w:t>
      </w:r>
      <w:r w:rsidRPr="00B66EDA">
        <w:rPr>
          <w:rFonts w:ascii="Arial" w:hAnsi="Arial" w:cs="Arial"/>
          <w:color w:val="000000"/>
          <w:sz w:val="20"/>
          <w:szCs w:val="20"/>
          <w:lang w:val="en-GB"/>
        </w:rPr>
        <w:t xml:space="preserve"> within the CFR.</w:t>
      </w:r>
      <w:r>
        <w:rPr>
          <w:rFonts w:ascii="Arial" w:hAnsi="Arial" w:cs="Arial"/>
          <w:color w:val="000000"/>
          <w:sz w:val="20"/>
          <w:szCs w:val="20"/>
          <w:lang w:val="en-GB"/>
        </w:rPr>
        <w:t xml:space="preserve"> </w:t>
      </w:r>
      <w:r w:rsidRPr="00B66EDA">
        <w:rPr>
          <w:rFonts w:ascii="Arial" w:hAnsi="Arial" w:cs="Arial"/>
          <w:sz w:val="20"/>
          <w:szCs w:val="20"/>
          <w:lang w:val="en-GB"/>
        </w:rPr>
        <w:t>The Council is asked to approve the CFR projections below:</w:t>
      </w:r>
    </w:p>
    <w:tbl>
      <w:tblPr>
        <w:tblW w:w="9200" w:type="dxa"/>
        <w:tblLook w:val="04A0" w:firstRow="1" w:lastRow="0" w:firstColumn="1" w:lastColumn="0" w:noHBand="0" w:noVBand="1"/>
      </w:tblPr>
      <w:tblGrid>
        <w:gridCol w:w="2740"/>
        <w:gridCol w:w="1200"/>
        <w:gridCol w:w="1300"/>
        <w:gridCol w:w="1300"/>
        <w:gridCol w:w="1300"/>
        <w:gridCol w:w="1360"/>
      </w:tblGrid>
      <w:tr w:rsidR="002252C6" w14:paraId="6A7F405F" w14:textId="77777777" w:rsidTr="008805D4">
        <w:trPr>
          <w:trHeight w:val="315"/>
        </w:trPr>
        <w:tc>
          <w:tcPr>
            <w:tcW w:w="2740" w:type="dxa"/>
            <w:vMerge w:val="restart"/>
            <w:tcBorders>
              <w:top w:val="single" w:sz="4" w:space="0" w:color="auto"/>
              <w:left w:val="single" w:sz="4" w:space="0" w:color="auto"/>
              <w:bottom w:val="single" w:sz="4" w:space="0" w:color="auto"/>
              <w:right w:val="single" w:sz="4" w:space="0" w:color="auto"/>
            </w:tcBorders>
            <w:shd w:val="clear" w:color="000000" w:fill="B3B3B3"/>
            <w:vAlign w:val="center"/>
            <w:hideMark/>
          </w:tcPr>
          <w:p w14:paraId="73FB1728" w14:textId="77777777" w:rsidR="008805D4" w:rsidRPr="008805D4" w:rsidRDefault="00A724BF" w:rsidP="008805D4">
            <w:pPr>
              <w:rPr>
                <w:rFonts w:cs="Arial"/>
                <w:b/>
                <w:bCs/>
                <w:spacing w:val="0"/>
                <w:sz w:val="22"/>
                <w:szCs w:val="22"/>
                <w:lang w:eastAsia="en-GB"/>
              </w:rPr>
            </w:pPr>
            <w:r w:rsidRPr="008805D4">
              <w:rPr>
                <w:rFonts w:cs="Arial"/>
                <w:b/>
                <w:bCs/>
                <w:spacing w:val="0"/>
                <w:sz w:val="22"/>
                <w:szCs w:val="22"/>
                <w:lang w:eastAsia="en-GB"/>
              </w:rPr>
              <w:t>Capital Financing Requirement</w:t>
            </w:r>
          </w:p>
        </w:tc>
        <w:tc>
          <w:tcPr>
            <w:tcW w:w="1200" w:type="dxa"/>
            <w:tcBorders>
              <w:top w:val="single" w:sz="4" w:space="0" w:color="auto"/>
              <w:left w:val="nil"/>
              <w:bottom w:val="single" w:sz="4" w:space="0" w:color="auto"/>
              <w:right w:val="single" w:sz="4" w:space="0" w:color="auto"/>
            </w:tcBorders>
            <w:shd w:val="clear" w:color="000000" w:fill="B3B3B3"/>
            <w:vAlign w:val="center"/>
            <w:hideMark/>
          </w:tcPr>
          <w:p w14:paraId="02B4529F" w14:textId="77777777" w:rsidR="008805D4" w:rsidRPr="008805D4" w:rsidRDefault="00A724BF" w:rsidP="008805D4">
            <w:pPr>
              <w:jc w:val="center"/>
              <w:rPr>
                <w:rFonts w:cs="Arial"/>
                <w:b/>
                <w:bCs/>
                <w:spacing w:val="0"/>
                <w:sz w:val="22"/>
                <w:szCs w:val="22"/>
                <w:lang w:eastAsia="en-GB"/>
              </w:rPr>
            </w:pPr>
            <w:r w:rsidRPr="008805D4">
              <w:rPr>
                <w:rFonts w:cs="Arial"/>
                <w:b/>
                <w:bCs/>
                <w:spacing w:val="0"/>
                <w:sz w:val="22"/>
                <w:szCs w:val="22"/>
                <w:lang w:eastAsia="en-GB"/>
              </w:rPr>
              <w:t>2021/22</w:t>
            </w:r>
          </w:p>
        </w:tc>
        <w:tc>
          <w:tcPr>
            <w:tcW w:w="1300" w:type="dxa"/>
            <w:tcBorders>
              <w:top w:val="single" w:sz="4" w:space="0" w:color="auto"/>
              <w:left w:val="nil"/>
              <w:bottom w:val="single" w:sz="4" w:space="0" w:color="auto"/>
              <w:right w:val="single" w:sz="4" w:space="0" w:color="auto"/>
            </w:tcBorders>
            <w:shd w:val="clear" w:color="000000" w:fill="B3B3B3"/>
            <w:vAlign w:val="center"/>
            <w:hideMark/>
          </w:tcPr>
          <w:p w14:paraId="5AD23F41" w14:textId="77777777" w:rsidR="008805D4" w:rsidRPr="008805D4" w:rsidRDefault="00A724BF" w:rsidP="008805D4">
            <w:pPr>
              <w:jc w:val="center"/>
              <w:rPr>
                <w:rFonts w:cs="Arial"/>
                <w:b/>
                <w:bCs/>
                <w:spacing w:val="0"/>
                <w:sz w:val="22"/>
                <w:szCs w:val="22"/>
                <w:lang w:eastAsia="en-GB"/>
              </w:rPr>
            </w:pPr>
            <w:r w:rsidRPr="008805D4">
              <w:rPr>
                <w:rFonts w:cs="Arial"/>
                <w:b/>
                <w:bCs/>
                <w:spacing w:val="0"/>
                <w:sz w:val="22"/>
                <w:szCs w:val="22"/>
                <w:lang w:eastAsia="en-GB"/>
              </w:rPr>
              <w:t>2022/23</w:t>
            </w:r>
          </w:p>
        </w:tc>
        <w:tc>
          <w:tcPr>
            <w:tcW w:w="1300" w:type="dxa"/>
            <w:tcBorders>
              <w:top w:val="single" w:sz="4" w:space="0" w:color="auto"/>
              <w:left w:val="nil"/>
              <w:bottom w:val="single" w:sz="4" w:space="0" w:color="auto"/>
              <w:right w:val="single" w:sz="4" w:space="0" w:color="auto"/>
            </w:tcBorders>
            <w:shd w:val="clear" w:color="000000" w:fill="B3B3B3"/>
            <w:vAlign w:val="center"/>
            <w:hideMark/>
          </w:tcPr>
          <w:p w14:paraId="4ED181DF" w14:textId="77777777" w:rsidR="008805D4" w:rsidRPr="008805D4" w:rsidRDefault="00A724BF" w:rsidP="008805D4">
            <w:pPr>
              <w:jc w:val="center"/>
              <w:rPr>
                <w:rFonts w:cs="Arial"/>
                <w:b/>
                <w:bCs/>
                <w:spacing w:val="0"/>
                <w:sz w:val="22"/>
                <w:szCs w:val="22"/>
                <w:lang w:eastAsia="en-GB"/>
              </w:rPr>
            </w:pPr>
            <w:r w:rsidRPr="008805D4">
              <w:rPr>
                <w:rFonts w:cs="Arial"/>
                <w:b/>
                <w:bCs/>
                <w:spacing w:val="0"/>
                <w:sz w:val="22"/>
                <w:szCs w:val="22"/>
                <w:lang w:eastAsia="en-GB"/>
              </w:rPr>
              <w:t>2023/24</w:t>
            </w:r>
          </w:p>
        </w:tc>
        <w:tc>
          <w:tcPr>
            <w:tcW w:w="1300" w:type="dxa"/>
            <w:tcBorders>
              <w:top w:val="single" w:sz="4" w:space="0" w:color="auto"/>
              <w:left w:val="nil"/>
              <w:bottom w:val="single" w:sz="4" w:space="0" w:color="auto"/>
              <w:right w:val="single" w:sz="4" w:space="0" w:color="auto"/>
            </w:tcBorders>
            <w:shd w:val="clear" w:color="000000" w:fill="B3B3B3"/>
            <w:vAlign w:val="center"/>
            <w:hideMark/>
          </w:tcPr>
          <w:p w14:paraId="56703003" w14:textId="77777777" w:rsidR="008805D4" w:rsidRPr="008805D4" w:rsidRDefault="00A724BF" w:rsidP="008805D4">
            <w:pPr>
              <w:jc w:val="center"/>
              <w:rPr>
                <w:rFonts w:cs="Arial"/>
                <w:b/>
                <w:bCs/>
                <w:spacing w:val="0"/>
                <w:sz w:val="22"/>
                <w:szCs w:val="22"/>
                <w:lang w:eastAsia="en-GB"/>
              </w:rPr>
            </w:pPr>
            <w:r w:rsidRPr="008805D4">
              <w:rPr>
                <w:rFonts w:cs="Arial"/>
                <w:b/>
                <w:bCs/>
                <w:spacing w:val="0"/>
                <w:sz w:val="22"/>
                <w:szCs w:val="22"/>
                <w:lang w:eastAsia="en-GB"/>
              </w:rPr>
              <w:t>2024/25</w:t>
            </w:r>
          </w:p>
        </w:tc>
        <w:tc>
          <w:tcPr>
            <w:tcW w:w="1360" w:type="dxa"/>
            <w:tcBorders>
              <w:top w:val="single" w:sz="4" w:space="0" w:color="auto"/>
              <w:left w:val="nil"/>
              <w:bottom w:val="single" w:sz="4" w:space="0" w:color="auto"/>
              <w:right w:val="single" w:sz="4" w:space="0" w:color="auto"/>
            </w:tcBorders>
            <w:shd w:val="clear" w:color="000000" w:fill="B3B3B3"/>
            <w:vAlign w:val="center"/>
            <w:hideMark/>
          </w:tcPr>
          <w:p w14:paraId="28EEC16D" w14:textId="77777777" w:rsidR="008805D4" w:rsidRPr="008805D4" w:rsidRDefault="00A724BF" w:rsidP="008805D4">
            <w:pPr>
              <w:jc w:val="center"/>
              <w:rPr>
                <w:rFonts w:cs="Arial"/>
                <w:b/>
                <w:bCs/>
                <w:spacing w:val="0"/>
                <w:sz w:val="22"/>
                <w:szCs w:val="22"/>
                <w:lang w:eastAsia="en-GB"/>
              </w:rPr>
            </w:pPr>
            <w:r w:rsidRPr="008805D4">
              <w:rPr>
                <w:rFonts w:cs="Arial"/>
                <w:b/>
                <w:bCs/>
                <w:spacing w:val="0"/>
                <w:sz w:val="22"/>
                <w:szCs w:val="22"/>
                <w:lang w:eastAsia="en-GB"/>
              </w:rPr>
              <w:t>2025/26</w:t>
            </w:r>
          </w:p>
        </w:tc>
      </w:tr>
      <w:tr w:rsidR="002252C6" w14:paraId="521C41F9" w14:textId="77777777" w:rsidTr="008805D4">
        <w:trPr>
          <w:trHeight w:val="315"/>
        </w:trPr>
        <w:tc>
          <w:tcPr>
            <w:tcW w:w="2740" w:type="dxa"/>
            <w:vMerge/>
            <w:tcBorders>
              <w:top w:val="single" w:sz="4" w:space="0" w:color="auto"/>
              <w:left w:val="single" w:sz="4" w:space="0" w:color="auto"/>
              <w:bottom w:val="single" w:sz="4" w:space="0" w:color="auto"/>
              <w:right w:val="single" w:sz="4" w:space="0" w:color="auto"/>
            </w:tcBorders>
            <w:vAlign w:val="center"/>
            <w:hideMark/>
          </w:tcPr>
          <w:p w14:paraId="2ED56B2F" w14:textId="77777777" w:rsidR="008805D4" w:rsidRPr="008805D4" w:rsidRDefault="008805D4" w:rsidP="008805D4">
            <w:pPr>
              <w:rPr>
                <w:rFonts w:cs="Arial"/>
                <w:b/>
                <w:bCs/>
                <w:spacing w:val="0"/>
                <w:sz w:val="22"/>
                <w:szCs w:val="22"/>
                <w:lang w:eastAsia="en-GB"/>
              </w:rPr>
            </w:pPr>
          </w:p>
        </w:tc>
        <w:tc>
          <w:tcPr>
            <w:tcW w:w="1200" w:type="dxa"/>
            <w:tcBorders>
              <w:top w:val="nil"/>
              <w:left w:val="nil"/>
              <w:bottom w:val="single" w:sz="4" w:space="0" w:color="auto"/>
              <w:right w:val="single" w:sz="4" w:space="0" w:color="auto"/>
            </w:tcBorders>
            <w:shd w:val="clear" w:color="000000" w:fill="B3B3B3"/>
            <w:vAlign w:val="center"/>
            <w:hideMark/>
          </w:tcPr>
          <w:p w14:paraId="4C7DA86A" w14:textId="77777777" w:rsidR="008805D4" w:rsidRPr="008805D4" w:rsidRDefault="00A724BF" w:rsidP="008805D4">
            <w:pPr>
              <w:jc w:val="center"/>
              <w:rPr>
                <w:rFonts w:cs="Arial"/>
                <w:b/>
                <w:bCs/>
                <w:spacing w:val="0"/>
                <w:sz w:val="22"/>
                <w:szCs w:val="22"/>
                <w:lang w:eastAsia="en-GB"/>
              </w:rPr>
            </w:pPr>
            <w:r w:rsidRPr="008805D4">
              <w:rPr>
                <w:rFonts w:cs="Arial"/>
                <w:b/>
                <w:bCs/>
                <w:spacing w:val="0"/>
                <w:sz w:val="22"/>
                <w:szCs w:val="22"/>
                <w:lang w:eastAsia="en-GB"/>
              </w:rPr>
              <w:t>Actual</w:t>
            </w:r>
          </w:p>
        </w:tc>
        <w:tc>
          <w:tcPr>
            <w:tcW w:w="1300" w:type="dxa"/>
            <w:tcBorders>
              <w:top w:val="nil"/>
              <w:left w:val="nil"/>
              <w:bottom w:val="single" w:sz="4" w:space="0" w:color="auto"/>
              <w:right w:val="single" w:sz="4" w:space="0" w:color="auto"/>
            </w:tcBorders>
            <w:shd w:val="clear" w:color="000000" w:fill="B3B3B3"/>
            <w:vAlign w:val="center"/>
            <w:hideMark/>
          </w:tcPr>
          <w:p w14:paraId="0BB2C925" w14:textId="77777777" w:rsidR="008805D4" w:rsidRPr="008805D4" w:rsidRDefault="00A724BF" w:rsidP="008805D4">
            <w:pPr>
              <w:jc w:val="center"/>
              <w:rPr>
                <w:rFonts w:cs="Arial"/>
                <w:b/>
                <w:bCs/>
                <w:spacing w:val="0"/>
                <w:sz w:val="22"/>
                <w:szCs w:val="22"/>
                <w:lang w:eastAsia="en-GB"/>
              </w:rPr>
            </w:pPr>
            <w:r w:rsidRPr="008805D4">
              <w:rPr>
                <w:rFonts w:cs="Arial"/>
                <w:b/>
                <w:bCs/>
                <w:spacing w:val="0"/>
                <w:sz w:val="22"/>
                <w:szCs w:val="22"/>
                <w:lang w:eastAsia="en-GB"/>
              </w:rPr>
              <w:t>Estimate</w:t>
            </w:r>
          </w:p>
        </w:tc>
        <w:tc>
          <w:tcPr>
            <w:tcW w:w="1300" w:type="dxa"/>
            <w:tcBorders>
              <w:top w:val="nil"/>
              <w:left w:val="nil"/>
              <w:bottom w:val="single" w:sz="4" w:space="0" w:color="auto"/>
              <w:right w:val="single" w:sz="4" w:space="0" w:color="auto"/>
            </w:tcBorders>
            <w:shd w:val="clear" w:color="000000" w:fill="B3B3B3"/>
            <w:vAlign w:val="center"/>
            <w:hideMark/>
          </w:tcPr>
          <w:p w14:paraId="64DB53BA" w14:textId="77777777" w:rsidR="008805D4" w:rsidRPr="008805D4" w:rsidRDefault="00A724BF" w:rsidP="008805D4">
            <w:pPr>
              <w:jc w:val="center"/>
              <w:rPr>
                <w:rFonts w:cs="Arial"/>
                <w:b/>
                <w:bCs/>
                <w:spacing w:val="0"/>
                <w:sz w:val="22"/>
                <w:szCs w:val="22"/>
                <w:lang w:eastAsia="en-GB"/>
              </w:rPr>
            </w:pPr>
            <w:r w:rsidRPr="008805D4">
              <w:rPr>
                <w:rFonts w:cs="Arial"/>
                <w:b/>
                <w:bCs/>
                <w:spacing w:val="0"/>
                <w:sz w:val="22"/>
                <w:szCs w:val="22"/>
                <w:lang w:eastAsia="en-GB"/>
              </w:rPr>
              <w:t>Estimate</w:t>
            </w:r>
          </w:p>
        </w:tc>
        <w:tc>
          <w:tcPr>
            <w:tcW w:w="1300" w:type="dxa"/>
            <w:tcBorders>
              <w:top w:val="nil"/>
              <w:left w:val="nil"/>
              <w:bottom w:val="single" w:sz="4" w:space="0" w:color="auto"/>
              <w:right w:val="single" w:sz="4" w:space="0" w:color="auto"/>
            </w:tcBorders>
            <w:shd w:val="clear" w:color="000000" w:fill="B3B3B3"/>
            <w:vAlign w:val="center"/>
            <w:hideMark/>
          </w:tcPr>
          <w:p w14:paraId="4D27E4C1" w14:textId="77777777" w:rsidR="008805D4" w:rsidRPr="008805D4" w:rsidRDefault="00A724BF" w:rsidP="008805D4">
            <w:pPr>
              <w:jc w:val="center"/>
              <w:rPr>
                <w:rFonts w:cs="Arial"/>
                <w:b/>
                <w:bCs/>
                <w:spacing w:val="0"/>
                <w:sz w:val="22"/>
                <w:szCs w:val="22"/>
                <w:lang w:eastAsia="en-GB"/>
              </w:rPr>
            </w:pPr>
            <w:r w:rsidRPr="008805D4">
              <w:rPr>
                <w:rFonts w:cs="Arial"/>
                <w:b/>
                <w:bCs/>
                <w:spacing w:val="0"/>
                <w:sz w:val="22"/>
                <w:szCs w:val="22"/>
                <w:lang w:eastAsia="en-GB"/>
              </w:rPr>
              <w:t>Estimate</w:t>
            </w:r>
          </w:p>
        </w:tc>
        <w:tc>
          <w:tcPr>
            <w:tcW w:w="1360" w:type="dxa"/>
            <w:tcBorders>
              <w:top w:val="nil"/>
              <w:left w:val="nil"/>
              <w:bottom w:val="single" w:sz="4" w:space="0" w:color="auto"/>
              <w:right w:val="single" w:sz="4" w:space="0" w:color="auto"/>
            </w:tcBorders>
            <w:shd w:val="clear" w:color="000000" w:fill="B3B3B3"/>
            <w:vAlign w:val="center"/>
            <w:hideMark/>
          </w:tcPr>
          <w:p w14:paraId="0E7FA652" w14:textId="77777777" w:rsidR="008805D4" w:rsidRPr="008805D4" w:rsidRDefault="00A724BF" w:rsidP="008805D4">
            <w:pPr>
              <w:jc w:val="center"/>
              <w:rPr>
                <w:rFonts w:cs="Arial"/>
                <w:b/>
                <w:bCs/>
                <w:spacing w:val="0"/>
                <w:sz w:val="22"/>
                <w:szCs w:val="22"/>
                <w:lang w:eastAsia="en-GB"/>
              </w:rPr>
            </w:pPr>
            <w:r w:rsidRPr="008805D4">
              <w:rPr>
                <w:rFonts w:cs="Arial"/>
                <w:b/>
                <w:bCs/>
                <w:spacing w:val="0"/>
                <w:sz w:val="22"/>
                <w:szCs w:val="22"/>
                <w:lang w:eastAsia="en-GB"/>
              </w:rPr>
              <w:t>Estimate</w:t>
            </w:r>
          </w:p>
        </w:tc>
      </w:tr>
      <w:tr w:rsidR="002252C6" w14:paraId="7BE49384" w14:textId="77777777" w:rsidTr="008805D4">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211BD16A" w14:textId="77777777" w:rsidR="008805D4" w:rsidRPr="008805D4" w:rsidRDefault="00A724BF" w:rsidP="008805D4">
            <w:pPr>
              <w:rPr>
                <w:rFonts w:cs="Arial"/>
                <w:b/>
                <w:bCs/>
                <w:spacing w:val="0"/>
                <w:sz w:val="22"/>
                <w:szCs w:val="22"/>
                <w:lang w:eastAsia="en-GB"/>
              </w:rPr>
            </w:pPr>
            <w:r w:rsidRPr="008805D4">
              <w:rPr>
                <w:rFonts w:cs="Arial"/>
                <w:b/>
                <w:bCs/>
                <w:spacing w:val="0"/>
                <w:sz w:val="22"/>
                <w:szCs w:val="22"/>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14:paraId="433D8ED3" w14:textId="77777777" w:rsidR="008805D4" w:rsidRPr="008805D4" w:rsidRDefault="00A724BF" w:rsidP="008805D4">
            <w:pPr>
              <w:jc w:val="center"/>
              <w:rPr>
                <w:rFonts w:cs="Arial"/>
                <w:b/>
                <w:bCs/>
                <w:spacing w:val="0"/>
                <w:sz w:val="22"/>
                <w:szCs w:val="22"/>
                <w:lang w:eastAsia="en-GB"/>
              </w:rPr>
            </w:pPr>
            <w:r w:rsidRPr="008805D4">
              <w:rPr>
                <w:rFonts w:cs="Arial"/>
                <w:b/>
                <w:bCs/>
                <w:spacing w:val="0"/>
                <w:sz w:val="22"/>
                <w:szCs w:val="22"/>
                <w:lang w:eastAsia="en-GB"/>
              </w:rPr>
              <w:t>£'000</w:t>
            </w:r>
          </w:p>
        </w:tc>
        <w:tc>
          <w:tcPr>
            <w:tcW w:w="1300" w:type="dxa"/>
            <w:tcBorders>
              <w:top w:val="nil"/>
              <w:left w:val="nil"/>
              <w:bottom w:val="single" w:sz="4" w:space="0" w:color="auto"/>
              <w:right w:val="single" w:sz="4" w:space="0" w:color="auto"/>
            </w:tcBorders>
            <w:shd w:val="clear" w:color="auto" w:fill="auto"/>
            <w:vAlign w:val="center"/>
            <w:hideMark/>
          </w:tcPr>
          <w:p w14:paraId="2B9CFAC9" w14:textId="77777777" w:rsidR="008805D4" w:rsidRPr="008805D4" w:rsidRDefault="00A724BF" w:rsidP="008805D4">
            <w:pPr>
              <w:jc w:val="center"/>
              <w:rPr>
                <w:rFonts w:cs="Arial"/>
                <w:b/>
                <w:bCs/>
                <w:spacing w:val="0"/>
                <w:sz w:val="22"/>
                <w:szCs w:val="22"/>
                <w:lang w:eastAsia="en-GB"/>
              </w:rPr>
            </w:pPr>
            <w:r w:rsidRPr="008805D4">
              <w:rPr>
                <w:rFonts w:cs="Arial"/>
                <w:b/>
                <w:bCs/>
                <w:spacing w:val="0"/>
                <w:sz w:val="22"/>
                <w:szCs w:val="22"/>
                <w:lang w:eastAsia="en-GB"/>
              </w:rPr>
              <w:t>£'000</w:t>
            </w:r>
          </w:p>
        </w:tc>
        <w:tc>
          <w:tcPr>
            <w:tcW w:w="1300" w:type="dxa"/>
            <w:tcBorders>
              <w:top w:val="nil"/>
              <w:left w:val="nil"/>
              <w:bottom w:val="single" w:sz="4" w:space="0" w:color="auto"/>
              <w:right w:val="single" w:sz="4" w:space="0" w:color="auto"/>
            </w:tcBorders>
            <w:shd w:val="clear" w:color="auto" w:fill="auto"/>
            <w:vAlign w:val="center"/>
            <w:hideMark/>
          </w:tcPr>
          <w:p w14:paraId="404DCB75" w14:textId="77777777" w:rsidR="008805D4" w:rsidRPr="008805D4" w:rsidRDefault="00A724BF" w:rsidP="008805D4">
            <w:pPr>
              <w:jc w:val="center"/>
              <w:rPr>
                <w:rFonts w:cs="Arial"/>
                <w:b/>
                <w:bCs/>
                <w:spacing w:val="0"/>
                <w:sz w:val="22"/>
                <w:szCs w:val="22"/>
                <w:lang w:eastAsia="en-GB"/>
              </w:rPr>
            </w:pPr>
            <w:r w:rsidRPr="008805D4">
              <w:rPr>
                <w:rFonts w:cs="Arial"/>
                <w:b/>
                <w:bCs/>
                <w:spacing w:val="0"/>
                <w:sz w:val="22"/>
                <w:szCs w:val="22"/>
                <w:lang w:eastAsia="en-GB"/>
              </w:rPr>
              <w:t>£'000</w:t>
            </w:r>
          </w:p>
        </w:tc>
        <w:tc>
          <w:tcPr>
            <w:tcW w:w="1300" w:type="dxa"/>
            <w:tcBorders>
              <w:top w:val="nil"/>
              <w:left w:val="nil"/>
              <w:bottom w:val="single" w:sz="4" w:space="0" w:color="auto"/>
              <w:right w:val="single" w:sz="4" w:space="0" w:color="auto"/>
            </w:tcBorders>
            <w:shd w:val="clear" w:color="auto" w:fill="auto"/>
            <w:vAlign w:val="center"/>
            <w:hideMark/>
          </w:tcPr>
          <w:p w14:paraId="03832A90" w14:textId="77777777" w:rsidR="008805D4" w:rsidRPr="008805D4" w:rsidRDefault="00A724BF" w:rsidP="008805D4">
            <w:pPr>
              <w:jc w:val="center"/>
              <w:rPr>
                <w:rFonts w:cs="Arial"/>
                <w:b/>
                <w:bCs/>
                <w:spacing w:val="0"/>
                <w:sz w:val="22"/>
                <w:szCs w:val="22"/>
                <w:lang w:eastAsia="en-GB"/>
              </w:rPr>
            </w:pPr>
            <w:r w:rsidRPr="008805D4">
              <w:rPr>
                <w:rFonts w:cs="Arial"/>
                <w:b/>
                <w:bCs/>
                <w:spacing w:val="0"/>
                <w:sz w:val="22"/>
                <w:szCs w:val="22"/>
                <w:lang w:eastAsia="en-GB"/>
              </w:rPr>
              <w:t>£'000</w:t>
            </w:r>
          </w:p>
        </w:tc>
        <w:tc>
          <w:tcPr>
            <w:tcW w:w="1360" w:type="dxa"/>
            <w:tcBorders>
              <w:top w:val="nil"/>
              <w:left w:val="nil"/>
              <w:bottom w:val="single" w:sz="4" w:space="0" w:color="auto"/>
              <w:right w:val="single" w:sz="4" w:space="0" w:color="auto"/>
            </w:tcBorders>
            <w:shd w:val="clear" w:color="auto" w:fill="auto"/>
            <w:vAlign w:val="center"/>
            <w:hideMark/>
          </w:tcPr>
          <w:p w14:paraId="5A048EBB" w14:textId="77777777" w:rsidR="008805D4" w:rsidRPr="008805D4" w:rsidRDefault="00A724BF" w:rsidP="008805D4">
            <w:pPr>
              <w:jc w:val="center"/>
              <w:rPr>
                <w:rFonts w:cs="Arial"/>
                <w:b/>
                <w:bCs/>
                <w:spacing w:val="0"/>
                <w:sz w:val="22"/>
                <w:szCs w:val="22"/>
                <w:lang w:eastAsia="en-GB"/>
              </w:rPr>
            </w:pPr>
            <w:r w:rsidRPr="008805D4">
              <w:rPr>
                <w:rFonts w:cs="Arial"/>
                <w:b/>
                <w:bCs/>
                <w:spacing w:val="0"/>
                <w:sz w:val="22"/>
                <w:szCs w:val="22"/>
                <w:lang w:eastAsia="en-GB"/>
              </w:rPr>
              <w:t>£'000</w:t>
            </w:r>
          </w:p>
        </w:tc>
      </w:tr>
      <w:tr w:rsidR="002252C6" w14:paraId="4CBB5E1A" w14:textId="77777777" w:rsidTr="008805D4">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0AFC2B43" w14:textId="77777777" w:rsidR="008805D4" w:rsidRPr="008805D4" w:rsidRDefault="00A724BF" w:rsidP="008805D4">
            <w:pPr>
              <w:rPr>
                <w:rFonts w:cs="Arial"/>
                <w:spacing w:val="0"/>
                <w:sz w:val="22"/>
                <w:szCs w:val="22"/>
                <w:lang w:eastAsia="en-GB"/>
              </w:rPr>
            </w:pPr>
            <w:r w:rsidRPr="008805D4">
              <w:rPr>
                <w:rFonts w:cs="Arial"/>
                <w:spacing w:val="0"/>
                <w:sz w:val="22"/>
                <w:szCs w:val="22"/>
                <w:lang w:eastAsia="en-GB"/>
              </w:rPr>
              <w:t>Opening CFR</w:t>
            </w:r>
          </w:p>
        </w:tc>
        <w:tc>
          <w:tcPr>
            <w:tcW w:w="1200" w:type="dxa"/>
            <w:tcBorders>
              <w:top w:val="nil"/>
              <w:left w:val="nil"/>
              <w:bottom w:val="single" w:sz="4" w:space="0" w:color="auto"/>
              <w:right w:val="single" w:sz="4" w:space="0" w:color="auto"/>
            </w:tcBorders>
            <w:shd w:val="clear" w:color="auto" w:fill="auto"/>
            <w:vAlign w:val="center"/>
            <w:hideMark/>
          </w:tcPr>
          <w:p w14:paraId="07146A02" w14:textId="77777777" w:rsidR="008805D4" w:rsidRPr="008805D4" w:rsidRDefault="00A724BF" w:rsidP="008805D4">
            <w:pPr>
              <w:jc w:val="right"/>
              <w:rPr>
                <w:rFonts w:cs="Arial"/>
                <w:spacing w:val="0"/>
                <w:sz w:val="22"/>
                <w:szCs w:val="22"/>
                <w:lang w:eastAsia="en-GB"/>
              </w:rPr>
            </w:pPr>
            <w:r w:rsidRPr="008805D4">
              <w:rPr>
                <w:rFonts w:cs="Arial"/>
                <w:spacing w:val="0"/>
                <w:sz w:val="22"/>
                <w:szCs w:val="22"/>
                <w:lang w:eastAsia="en-GB"/>
              </w:rPr>
              <w:t>90,277</w:t>
            </w:r>
          </w:p>
        </w:tc>
        <w:tc>
          <w:tcPr>
            <w:tcW w:w="1300" w:type="dxa"/>
            <w:tcBorders>
              <w:top w:val="nil"/>
              <w:left w:val="nil"/>
              <w:bottom w:val="single" w:sz="4" w:space="0" w:color="auto"/>
              <w:right w:val="single" w:sz="4" w:space="0" w:color="auto"/>
            </w:tcBorders>
            <w:shd w:val="clear" w:color="auto" w:fill="auto"/>
            <w:vAlign w:val="center"/>
            <w:hideMark/>
          </w:tcPr>
          <w:p w14:paraId="353378D6" w14:textId="77777777" w:rsidR="008805D4" w:rsidRPr="008805D4" w:rsidRDefault="00A724BF" w:rsidP="008805D4">
            <w:pPr>
              <w:jc w:val="right"/>
              <w:rPr>
                <w:rFonts w:cs="Arial"/>
                <w:spacing w:val="0"/>
                <w:sz w:val="22"/>
                <w:szCs w:val="22"/>
                <w:lang w:eastAsia="en-GB"/>
              </w:rPr>
            </w:pPr>
            <w:r w:rsidRPr="008805D4">
              <w:rPr>
                <w:rFonts w:cs="Arial"/>
                <w:spacing w:val="0"/>
                <w:sz w:val="22"/>
                <w:szCs w:val="22"/>
                <w:lang w:eastAsia="en-GB"/>
              </w:rPr>
              <w:t>88,895</w:t>
            </w:r>
          </w:p>
        </w:tc>
        <w:tc>
          <w:tcPr>
            <w:tcW w:w="1300" w:type="dxa"/>
            <w:tcBorders>
              <w:top w:val="nil"/>
              <w:left w:val="nil"/>
              <w:bottom w:val="single" w:sz="4" w:space="0" w:color="auto"/>
              <w:right w:val="single" w:sz="4" w:space="0" w:color="auto"/>
            </w:tcBorders>
            <w:shd w:val="clear" w:color="auto" w:fill="auto"/>
            <w:vAlign w:val="center"/>
            <w:hideMark/>
          </w:tcPr>
          <w:p w14:paraId="12AF86BB" w14:textId="77777777" w:rsidR="008805D4" w:rsidRPr="008805D4" w:rsidRDefault="00A724BF" w:rsidP="008805D4">
            <w:pPr>
              <w:jc w:val="right"/>
              <w:rPr>
                <w:rFonts w:cs="Arial"/>
                <w:spacing w:val="0"/>
                <w:sz w:val="22"/>
                <w:szCs w:val="22"/>
                <w:lang w:eastAsia="en-GB"/>
              </w:rPr>
            </w:pPr>
            <w:r w:rsidRPr="008805D4">
              <w:rPr>
                <w:rFonts w:cs="Arial"/>
                <w:spacing w:val="0"/>
                <w:sz w:val="22"/>
                <w:szCs w:val="22"/>
                <w:lang w:eastAsia="en-GB"/>
              </w:rPr>
              <w:t>87,456</w:t>
            </w:r>
          </w:p>
        </w:tc>
        <w:tc>
          <w:tcPr>
            <w:tcW w:w="1300" w:type="dxa"/>
            <w:tcBorders>
              <w:top w:val="nil"/>
              <w:left w:val="nil"/>
              <w:bottom w:val="single" w:sz="4" w:space="0" w:color="auto"/>
              <w:right w:val="single" w:sz="4" w:space="0" w:color="auto"/>
            </w:tcBorders>
            <w:shd w:val="clear" w:color="auto" w:fill="auto"/>
            <w:vAlign w:val="center"/>
            <w:hideMark/>
          </w:tcPr>
          <w:p w14:paraId="72D0775E" w14:textId="77777777" w:rsidR="008805D4" w:rsidRPr="008805D4" w:rsidRDefault="00A724BF" w:rsidP="008805D4">
            <w:pPr>
              <w:jc w:val="right"/>
              <w:rPr>
                <w:rFonts w:cs="Arial"/>
                <w:spacing w:val="0"/>
                <w:sz w:val="22"/>
                <w:szCs w:val="22"/>
                <w:lang w:eastAsia="en-GB"/>
              </w:rPr>
            </w:pPr>
            <w:r w:rsidRPr="008805D4">
              <w:rPr>
                <w:rFonts w:cs="Arial"/>
                <w:spacing w:val="0"/>
                <w:sz w:val="22"/>
                <w:szCs w:val="22"/>
                <w:lang w:eastAsia="en-GB"/>
              </w:rPr>
              <w:t>135,561</w:t>
            </w:r>
          </w:p>
        </w:tc>
        <w:tc>
          <w:tcPr>
            <w:tcW w:w="1360" w:type="dxa"/>
            <w:tcBorders>
              <w:top w:val="nil"/>
              <w:left w:val="nil"/>
              <w:bottom w:val="single" w:sz="4" w:space="0" w:color="auto"/>
              <w:right w:val="single" w:sz="4" w:space="0" w:color="auto"/>
            </w:tcBorders>
            <w:shd w:val="clear" w:color="auto" w:fill="auto"/>
            <w:vAlign w:val="center"/>
            <w:hideMark/>
          </w:tcPr>
          <w:p w14:paraId="42803D45" w14:textId="77777777" w:rsidR="008805D4" w:rsidRPr="008805D4" w:rsidRDefault="00A724BF" w:rsidP="008805D4">
            <w:pPr>
              <w:jc w:val="right"/>
              <w:rPr>
                <w:rFonts w:cs="Arial"/>
                <w:spacing w:val="0"/>
                <w:sz w:val="22"/>
                <w:szCs w:val="22"/>
                <w:lang w:eastAsia="en-GB"/>
              </w:rPr>
            </w:pPr>
            <w:r w:rsidRPr="008805D4">
              <w:rPr>
                <w:rFonts w:cs="Arial"/>
                <w:spacing w:val="0"/>
                <w:sz w:val="22"/>
                <w:szCs w:val="22"/>
                <w:lang w:eastAsia="en-GB"/>
              </w:rPr>
              <w:t>133,533</w:t>
            </w:r>
          </w:p>
        </w:tc>
      </w:tr>
      <w:tr w:rsidR="002252C6" w14:paraId="7D7AF921" w14:textId="77777777" w:rsidTr="008805D4">
        <w:trPr>
          <w:trHeight w:val="570"/>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4B15E3B6" w14:textId="77777777" w:rsidR="008805D4" w:rsidRPr="008805D4" w:rsidRDefault="00A724BF" w:rsidP="008805D4">
            <w:pPr>
              <w:rPr>
                <w:rFonts w:cs="Arial"/>
                <w:spacing w:val="0"/>
                <w:sz w:val="22"/>
                <w:szCs w:val="22"/>
                <w:lang w:eastAsia="en-GB"/>
              </w:rPr>
            </w:pPr>
            <w:r w:rsidRPr="008805D4">
              <w:rPr>
                <w:rFonts w:cs="Arial"/>
                <w:spacing w:val="0"/>
                <w:sz w:val="22"/>
                <w:szCs w:val="22"/>
                <w:lang w:eastAsia="en-GB"/>
              </w:rPr>
              <w:t>Unfinanced capex - commercial properties</w:t>
            </w:r>
          </w:p>
        </w:tc>
        <w:tc>
          <w:tcPr>
            <w:tcW w:w="1200" w:type="dxa"/>
            <w:tcBorders>
              <w:top w:val="nil"/>
              <w:left w:val="nil"/>
              <w:bottom w:val="single" w:sz="4" w:space="0" w:color="auto"/>
              <w:right w:val="single" w:sz="4" w:space="0" w:color="auto"/>
            </w:tcBorders>
            <w:shd w:val="clear" w:color="auto" w:fill="auto"/>
            <w:vAlign w:val="center"/>
            <w:hideMark/>
          </w:tcPr>
          <w:p w14:paraId="21CD95E9" w14:textId="77777777" w:rsidR="008805D4" w:rsidRPr="008805D4" w:rsidRDefault="00A724BF" w:rsidP="008805D4">
            <w:pPr>
              <w:jc w:val="right"/>
              <w:rPr>
                <w:rFonts w:cs="Arial"/>
                <w:spacing w:val="0"/>
                <w:sz w:val="22"/>
                <w:szCs w:val="22"/>
                <w:lang w:eastAsia="en-GB"/>
              </w:rPr>
            </w:pPr>
            <w:r w:rsidRPr="008805D4">
              <w:rPr>
                <w:rFonts w:cs="Arial"/>
                <w:spacing w:val="0"/>
                <w:sz w:val="22"/>
                <w:szCs w:val="22"/>
                <w:lang w:eastAsia="en-GB"/>
              </w:rPr>
              <w:t>0</w:t>
            </w:r>
          </w:p>
        </w:tc>
        <w:tc>
          <w:tcPr>
            <w:tcW w:w="1300" w:type="dxa"/>
            <w:tcBorders>
              <w:top w:val="nil"/>
              <w:left w:val="nil"/>
              <w:bottom w:val="single" w:sz="4" w:space="0" w:color="auto"/>
              <w:right w:val="single" w:sz="4" w:space="0" w:color="auto"/>
            </w:tcBorders>
            <w:shd w:val="clear" w:color="auto" w:fill="auto"/>
            <w:vAlign w:val="center"/>
            <w:hideMark/>
          </w:tcPr>
          <w:p w14:paraId="66FCC87C" w14:textId="77777777" w:rsidR="008805D4" w:rsidRPr="008805D4" w:rsidRDefault="00A724BF" w:rsidP="008805D4">
            <w:pPr>
              <w:jc w:val="right"/>
              <w:rPr>
                <w:rFonts w:cs="Arial"/>
                <w:spacing w:val="0"/>
                <w:sz w:val="22"/>
                <w:szCs w:val="22"/>
                <w:lang w:eastAsia="en-GB"/>
              </w:rPr>
            </w:pPr>
            <w:r w:rsidRPr="008805D4">
              <w:rPr>
                <w:rFonts w:cs="Arial"/>
                <w:spacing w:val="0"/>
                <w:sz w:val="22"/>
                <w:szCs w:val="22"/>
                <w:lang w:eastAsia="en-GB"/>
              </w:rPr>
              <w:t>0</w:t>
            </w:r>
          </w:p>
        </w:tc>
        <w:tc>
          <w:tcPr>
            <w:tcW w:w="1300" w:type="dxa"/>
            <w:tcBorders>
              <w:top w:val="nil"/>
              <w:left w:val="nil"/>
              <w:bottom w:val="single" w:sz="4" w:space="0" w:color="auto"/>
              <w:right w:val="single" w:sz="4" w:space="0" w:color="auto"/>
            </w:tcBorders>
            <w:shd w:val="clear" w:color="auto" w:fill="auto"/>
            <w:vAlign w:val="center"/>
            <w:hideMark/>
          </w:tcPr>
          <w:p w14:paraId="0AA429C5" w14:textId="77777777" w:rsidR="008805D4" w:rsidRPr="008805D4" w:rsidRDefault="00A724BF" w:rsidP="008805D4">
            <w:pPr>
              <w:jc w:val="right"/>
              <w:rPr>
                <w:rFonts w:cs="Arial"/>
                <w:spacing w:val="0"/>
                <w:sz w:val="22"/>
                <w:szCs w:val="22"/>
                <w:lang w:eastAsia="en-GB"/>
              </w:rPr>
            </w:pPr>
            <w:r w:rsidRPr="008805D4">
              <w:rPr>
                <w:rFonts w:cs="Arial"/>
                <w:spacing w:val="0"/>
                <w:sz w:val="22"/>
                <w:szCs w:val="22"/>
                <w:lang w:eastAsia="en-GB"/>
              </w:rPr>
              <w:t>49,569</w:t>
            </w:r>
          </w:p>
        </w:tc>
        <w:tc>
          <w:tcPr>
            <w:tcW w:w="1300" w:type="dxa"/>
            <w:tcBorders>
              <w:top w:val="nil"/>
              <w:left w:val="nil"/>
              <w:bottom w:val="single" w:sz="4" w:space="0" w:color="auto"/>
              <w:right w:val="single" w:sz="4" w:space="0" w:color="auto"/>
            </w:tcBorders>
            <w:shd w:val="clear" w:color="auto" w:fill="auto"/>
            <w:vAlign w:val="center"/>
            <w:hideMark/>
          </w:tcPr>
          <w:p w14:paraId="56E3338C" w14:textId="77777777" w:rsidR="008805D4" w:rsidRPr="008805D4" w:rsidRDefault="00A724BF" w:rsidP="008805D4">
            <w:pPr>
              <w:jc w:val="right"/>
              <w:rPr>
                <w:rFonts w:cs="Arial"/>
                <w:spacing w:val="0"/>
                <w:sz w:val="22"/>
                <w:szCs w:val="22"/>
                <w:lang w:eastAsia="en-GB"/>
              </w:rPr>
            </w:pPr>
            <w:r w:rsidRPr="008805D4">
              <w:rPr>
                <w:rFonts w:cs="Arial"/>
                <w:spacing w:val="0"/>
                <w:sz w:val="22"/>
                <w:szCs w:val="22"/>
                <w:lang w:eastAsia="en-GB"/>
              </w:rPr>
              <w:t>0</w:t>
            </w:r>
          </w:p>
        </w:tc>
        <w:tc>
          <w:tcPr>
            <w:tcW w:w="1360" w:type="dxa"/>
            <w:tcBorders>
              <w:top w:val="nil"/>
              <w:left w:val="nil"/>
              <w:bottom w:val="single" w:sz="4" w:space="0" w:color="auto"/>
              <w:right w:val="single" w:sz="4" w:space="0" w:color="auto"/>
            </w:tcBorders>
            <w:shd w:val="clear" w:color="auto" w:fill="auto"/>
            <w:vAlign w:val="center"/>
            <w:hideMark/>
          </w:tcPr>
          <w:p w14:paraId="653D588D" w14:textId="77777777" w:rsidR="008805D4" w:rsidRPr="008805D4" w:rsidRDefault="00A724BF" w:rsidP="008805D4">
            <w:pPr>
              <w:jc w:val="right"/>
              <w:rPr>
                <w:rFonts w:cs="Arial"/>
                <w:spacing w:val="0"/>
                <w:sz w:val="22"/>
                <w:szCs w:val="22"/>
                <w:lang w:eastAsia="en-GB"/>
              </w:rPr>
            </w:pPr>
            <w:r w:rsidRPr="008805D4">
              <w:rPr>
                <w:rFonts w:cs="Arial"/>
                <w:spacing w:val="0"/>
                <w:sz w:val="22"/>
                <w:szCs w:val="22"/>
                <w:lang w:eastAsia="en-GB"/>
              </w:rPr>
              <w:t>0</w:t>
            </w:r>
          </w:p>
        </w:tc>
      </w:tr>
      <w:tr w:rsidR="002252C6" w14:paraId="1994927F" w14:textId="77777777" w:rsidTr="008805D4">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71B45402" w14:textId="77777777" w:rsidR="008805D4" w:rsidRPr="008805D4" w:rsidRDefault="00A724BF" w:rsidP="008805D4">
            <w:pPr>
              <w:rPr>
                <w:rFonts w:cs="Arial"/>
                <w:spacing w:val="0"/>
                <w:sz w:val="22"/>
                <w:szCs w:val="22"/>
                <w:lang w:eastAsia="en-GB"/>
              </w:rPr>
            </w:pPr>
            <w:r w:rsidRPr="008805D4">
              <w:rPr>
                <w:rFonts w:cs="Arial"/>
                <w:spacing w:val="0"/>
                <w:sz w:val="22"/>
                <w:szCs w:val="22"/>
                <w:lang w:eastAsia="en-GB"/>
              </w:rPr>
              <w:t>Finance Leases</w:t>
            </w:r>
          </w:p>
        </w:tc>
        <w:tc>
          <w:tcPr>
            <w:tcW w:w="1200" w:type="dxa"/>
            <w:tcBorders>
              <w:top w:val="nil"/>
              <w:left w:val="nil"/>
              <w:bottom w:val="single" w:sz="4" w:space="0" w:color="auto"/>
              <w:right w:val="single" w:sz="4" w:space="0" w:color="auto"/>
            </w:tcBorders>
            <w:shd w:val="clear" w:color="auto" w:fill="auto"/>
            <w:vAlign w:val="center"/>
            <w:hideMark/>
          </w:tcPr>
          <w:p w14:paraId="2E07B5A8" w14:textId="77777777" w:rsidR="008805D4" w:rsidRPr="008805D4" w:rsidRDefault="00A724BF" w:rsidP="008805D4">
            <w:pPr>
              <w:jc w:val="right"/>
              <w:rPr>
                <w:rFonts w:cs="Arial"/>
                <w:spacing w:val="0"/>
                <w:sz w:val="22"/>
                <w:szCs w:val="22"/>
                <w:lang w:eastAsia="en-GB"/>
              </w:rPr>
            </w:pPr>
            <w:r w:rsidRPr="008805D4">
              <w:rPr>
                <w:rFonts w:cs="Arial"/>
                <w:spacing w:val="0"/>
                <w:sz w:val="22"/>
                <w:szCs w:val="22"/>
                <w:lang w:eastAsia="en-GB"/>
              </w:rPr>
              <w:t>34</w:t>
            </w:r>
          </w:p>
        </w:tc>
        <w:tc>
          <w:tcPr>
            <w:tcW w:w="1300" w:type="dxa"/>
            <w:tcBorders>
              <w:top w:val="nil"/>
              <w:left w:val="nil"/>
              <w:bottom w:val="single" w:sz="4" w:space="0" w:color="auto"/>
              <w:right w:val="single" w:sz="4" w:space="0" w:color="auto"/>
            </w:tcBorders>
            <w:shd w:val="clear" w:color="auto" w:fill="auto"/>
            <w:vAlign w:val="center"/>
            <w:hideMark/>
          </w:tcPr>
          <w:p w14:paraId="78D0BB47" w14:textId="77777777" w:rsidR="008805D4" w:rsidRPr="008805D4" w:rsidRDefault="00A724BF" w:rsidP="008805D4">
            <w:pPr>
              <w:jc w:val="right"/>
              <w:rPr>
                <w:rFonts w:cs="Arial"/>
                <w:spacing w:val="0"/>
                <w:sz w:val="22"/>
                <w:szCs w:val="22"/>
                <w:lang w:eastAsia="en-GB"/>
              </w:rPr>
            </w:pPr>
            <w:r w:rsidRPr="008805D4">
              <w:rPr>
                <w:rFonts w:cs="Arial"/>
                <w:spacing w:val="0"/>
                <w:sz w:val="22"/>
                <w:szCs w:val="22"/>
                <w:lang w:eastAsia="en-GB"/>
              </w:rPr>
              <w:t>0</w:t>
            </w:r>
          </w:p>
        </w:tc>
        <w:tc>
          <w:tcPr>
            <w:tcW w:w="1300" w:type="dxa"/>
            <w:tcBorders>
              <w:top w:val="nil"/>
              <w:left w:val="nil"/>
              <w:bottom w:val="single" w:sz="4" w:space="0" w:color="auto"/>
              <w:right w:val="single" w:sz="4" w:space="0" w:color="auto"/>
            </w:tcBorders>
            <w:shd w:val="clear" w:color="auto" w:fill="auto"/>
            <w:vAlign w:val="center"/>
            <w:hideMark/>
          </w:tcPr>
          <w:p w14:paraId="7AAD9D68" w14:textId="77777777" w:rsidR="008805D4" w:rsidRPr="008805D4" w:rsidRDefault="00A724BF" w:rsidP="008805D4">
            <w:pPr>
              <w:jc w:val="right"/>
              <w:rPr>
                <w:rFonts w:cs="Arial"/>
                <w:spacing w:val="0"/>
                <w:sz w:val="22"/>
                <w:szCs w:val="22"/>
                <w:lang w:eastAsia="en-GB"/>
              </w:rPr>
            </w:pPr>
            <w:r w:rsidRPr="008805D4">
              <w:rPr>
                <w:rFonts w:cs="Arial"/>
                <w:spacing w:val="0"/>
                <w:sz w:val="22"/>
                <w:szCs w:val="22"/>
                <w:lang w:eastAsia="en-GB"/>
              </w:rPr>
              <w:t>0</w:t>
            </w:r>
          </w:p>
        </w:tc>
        <w:tc>
          <w:tcPr>
            <w:tcW w:w="1300" w:type="dxa"/>
            <w:tcBorders>
              <w:top w:val="nil"/>
              <w:left w:val="nil"/>
              <w:bottom w:val="single" w:sz="4" w:space="0" w:color="auto"/>
              <w:right w:val="single" w:sz="4" w:space="0" w:color="auto"/>
            </w:tcBorders>
            <w:shd w:val="clear" w:color="auto" w:fill="auto"/>
            <w:vAlign w:val="center"/>
            <w:hideMark/>
          </w:tcPr>
          <w:p w14:paraId="717CA07B" w14:textId="77777777" w:rsidR="008805D4" w:rsidRPr="008805D4" w:rsidRDefault="00A724BF" w:rsidP="008805D4">
            <w:pPr>
              <w:jc w:val="right"/>
              <w:rPr>
                <w:rFonts w:cs="Arial"/>
                <w:spacing w:val="0"/>
                <w:sz w:val="22"/>
                <w:szCs w:val="22"/>
                <w:lang w:eastAsia="en-GB"/>
              </w:rPr>
            </w:pPr>
            <w:r w:rsidRPr="008805D4">
              <w:rPr>
                <w:rFonts w:cs="Arial"/>
                <w:spacing w:val="0"/>
                <w:sz w:val="22"/>
                <w:szCs w:val="22"/>
                <w:lang w:eastAsia="en-GB"/>
              </w:rPr>
              <w:t>0</w:t>
            </w:r>
          </w:p>
        </w:tc>
        <w:tc>
          <w:tcPr>
            <w:tcW w:w="1360" w:type="dxa"/>
            <w:tcBorders>
              <w:top w:val="nil"/>
              <w:left w:val="nil"/>
              <w:bottom w:val="single" w:sz="4" w:space="0" w:color="auto"/>
              <w:right w:val="single" w:sz="4" w:space="0" w:color="auto"/>
            </w:tcBorders>
            <w:shd w:val="clear" w:color="auto" w:fill="auto"/>
            <w:vAlign w:val="center"/>
            <w:hideMark/>
          </w:tcPr>
          <w:p w14:paraId="552578B5" w14:textId="77777777" w:rsidR="008805D4" w:rsidRPr="008805D4" w:rsidRDefault="00A724BF" w:rsidP="008805D4">
            <w:pPr>
              <w:jc w:val="right"/>
              <w:rPr>
                <w:rFonts w:cs="Arial"/>
                <w:spacing w:val="0"/>
                <w:sz w:val="22"/>
                <w:szCs w:val="22"/>
                <w:lang w:eastAsia="en-GB"/>
              </w:rPr>
            </w:pPr>
            <w:r w:rsidRPr="008805D4">
              <w:rPr>
                <w:rFonts w:cs="Arial"/>
                <w:spacing w:val="0"/>
                <w:sz w:val="22"/>
                <w:szCs w:val="22"/>
                <w:lang w:eastAsia="en-GB"/>
              </w:rPr>
              <w:t>0</w:t>
            </w:r>
          </w:p>
        </w:tc>
      </w:tr>
      <w:tr w:rsidR="002252C6" w14:paraId="7B6AF951" w14:textId="77777777" w:rsidTr="008805D4">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73C4C456" w14:textId="77777777" w:rsidR="008805D4" w:rsidRPr="008805D4" w:rsidRDefault="00A724BF" w:rsidP="008805D4">
            <w:pPr>
              <w:rPr>
                <w:rFonts w:cs="Arial"/>
                <w:spacing w:val="0"/>
                <w:sz w:val="22"/>
                <w:szCs w:val="22"/>
                <w:lang w:eastAsia="en-GB"/>
              </w:rPr>
            </w:pPr>
            <w:r w:rsidRPr="008805D4">
              <w:rPr>
                <w:rFonts w:cs="Arial"/>
                <w:spacing w:val="0"/>
                <w:sz w:val="22"/>
                <w:szCs w:val="22"/>
                <w:lang w:eastAsia="en-GB"/>
              </w:rPr>
              <w:t>Less MRP</w:t>
            </w:r>
          </w:p>
        </w:tc>
        <w:tc>
          <w:tcPr>
            <w:tcW w:w="1200" w:type="dxa"/>
            <w:tcBorders>
              <w:top w:val="nil"/>
              <w:left w:val="nil"/>
              <w:bottom w:val="single" w:sz="4" w:space="0" w:color="auto"/>
              <w:right w:val="single" w:sz="4" w:space="0" w:color="auto"/>
            </w:tcBorders>
            <w:shd w:val="clear" w:color="auto" w:fill="auto"/>
            <w:vAlign w:val="center"/>
            <w:hideMark/>
          </w:tcPr>
          <w:p w14:paraId="5EAD0BE7" w14:textId="77777777" w:rsidR="008805D4" w:rsidRPr="008805D4" w:rsidRDefault="00A724BF" w:rsidP="008805D4">
            <w:pPr>
              <w:jc w:val="right"/>
              <w:rPr>
                <w:rFonts w:cs="Arial"/>
                <w:spacing w:val="0"/>
                <w:sz w:val="22"/>
                <w:szCs w:val="22"/>
                <w:lang w:eastAsia="en-GB"/>
              </w:rPr>
            </w:pPr>
            <w:r w:rsidRPr="008805D4">
              <w:rPr>
                <w:rFonts w:cs="Arial"/>
                <w:spacing w:val="0"/>
                <w:sz w:val="22"/>
                <w:szCs w:val="22"/>
                <w:lang w:eastAsia="en-GB"/>
              </w:rPr>
              <w:t>(1,416)</w:t>
            </w:r>
          </w:p>
        </w:tc>
        <w:tc>
          <w:tcPr>
            <w:tcW w:w="1300" w:type="dxa"/>
            <w:tcBorders>
              <w:top w:val="nil"/>
              <w:left w:val="nil"/>
              <w:bottom w:val="single" w:sz="4" w:space="0" w:color="auto"/>
              <w:right w:val="single" w:sz="4" w:space="0" w:color="auto"/>
            </w:tcBorders>
            <w:shd w:val="clear" w:color="auto" w:fill="auto"/>
            <w:vAlign w:val="center"/>
            <w:hideMark/>
          </w:tcPr>
          <w:p w14:paraId="2FAE9614" w14:textId="77777777" w:rsidR="008805D4" w:rsidRPr="008805D4" w:rsidRDefault="00A724BF" w:rsidP="008805D4">
            <w:pPr>
              <w:jc w:val="right"/>
              <w:rPr>
                <w:rFonts w:cs="Arial"/>
                <w:spacing w:val="0"/>
                <w:sz w:val="22"/>
                <w:szCs w:val="22"/>
                <w:lang w:eastAsia="en-GB"/>
              </w:rPr>
            </w:pPr>
            <w:r w:rsidRPr="008805D4">
              <w:rPr>
                <w:rFonts w:cs="Arial"/>
                <w:spacing w:val="0"/>
                <w:sz w:val="22"/>
                <w:szCs w:val="22"/>
                <w:lang w:eastAsia="en-GB"/>
              </w:rPr>
              <w:t>(1,439)</w:t>
            </w:r>
          </w:p>
        </w:tc>
        <w:tc>
          <w:tcPr>
            <w:tcW w:w="1300" w:type="dxa"/>
            <w:tcBorders>
              <w:top w:val="nil"/>
              <w:left w:val="nil"/>
              <w:bottom w:val="single" w:sz="4" w:space="0" w:color="auto"/>
              <w:right w:val="single" w:sz="4" w:space="0" w:color="auto"/>
            </w:tcBorders>
            <w:shd w:val="clear" w:color="auto" w:fill="auto"/>
            <w:vAlign w:val="center"/>
            <w:hideMark/>
          </w:tcPr>
          <w:p w14:paraId="57C04C17" w14:textId="77777777" w:rsidR="008805D4" w:rsidRPr="008805D4" w:rsidRDefault="00A724BF" w:rsidP="008805D4">
            <w:pPr>
              <w:jc w:val="right"/>
              <w:rPr>
                <w:rFonts w:cs="Arial"/>
                <w:spacing w:val="0"/>
                <w:sz w:val="22"/>
                <w:szCs w:val="22"/>
                <w:lang w:eastAsia="en-GB"/>
              </w:rPr>
            </w:pPr>
            <w:r w:rsidRPr="008805D4">
              <w:rPr>
                <w:rFonts w:cs="Arial"/>
                <w:spacing w:val="0"/>
                <w:sz w:val="22"/>
                <w:szCs w:val="22"/>
                <w:lang w:eastAsia="en-GB"/>
              </w:rPr>
              <w:t>(1,464)</w:t>
            </w:r>
          </w:p>
        </w:tc>
        <w:tc>
          <w:tcPr>
            <w:tcW w:w="1300" w:type="dxa"/>
            <w:tcBorders>
              <w:top w:val="nil"/>
              <w:left w:val="nil"/>
              <w:bottom w:val="single" w:sz="4" w:space="0" w:color="auto"/>
              <w:right w:val="single" w:sz="4" w:space="0" w:color="auto"/>
            </w:tcBorders>
            <w:shd w:val="clear" w:color="auto" w:fill="auto"/>
            <w:vAlign w:val="center"/>
            <w:hideMark/>
          </w:tcPr>
          <w:p w14:paraId="0733EB7F" w14:textId="77777777" w:rsidR="008805D4" w:rsidRPr="008805D4" w:rsidRDefault="00A724BF" w:rsidP="008805D4">
            <w:pPr>
              <w:jc w:val="right"/>
              <w:rPr>
                <w:rFonts w:cs="Arial"/>
                <w:spacing w:val="0"/>
                <w:sz w:val="22"/>
                <w:szCs w:val="22"/>
                <w:lang w:eastAsia="en-GB"/>
              </w:rPr>
            </w:pPr>
            <w:r w:rsidRPr="008805D4">
              <w:rPr>
                <w:rFonts w:cs="Arial"/>
                <w:spacing w:val="0"/>
                <w:sz w:val="22"/>
                <w:szCs w:val="22"/>
                <w:lang w:eastAsia="en-GB"/>
              </w:rPr>
              <w:t>(2,028)</w:t>
            </w:r>
          </w:p>
        </w:tc>
        <w:tc>
          <w:tcPr>
            <w:tcW w:w="1360" w:type="dxa"/>
            <w:tcBorders>
              <w:top w:val="nil"/>
              <w:left w:val="nil"/>
              <w:bottom w:val="single" w:sz="4" w:space="0" w:color="auto"/>
              <w:right w:val="single" w:sz="4" w:space="0" w:color="auto"/>
            </w:tcBorders>
            <w:shd w:val="clear" w:color="auto" w:fill="auto"/>
            <w:vAlign w:val="center"/>
            <w:hideMark/>
          </w:tcPr>
          <w:p w14:paraId="6DDE1225" w14:textId="77777777" w:rsidR="008805D4" w:rsidRPr="008805D4" w:rsidRDefault="00A724BF" w:rsidP="008805D4">
            <w:pPr>
              <w:jc w:val="right"/>
              <w:rPr>
                <w:rFonts w:cs="Arial"/>
                <w:spacing w:val="0"/>
                <w:sz w:val="22"/>
                <w:szCs w:val="22"/>
                <w:lang w:eastAsia="en-GB"/>
              </w:rPr>
            </w:pPr>
            <w:r w:rsidRPr="008805D4">
              <w:rPr>
                <w:rFonts w:cs="Arial"/>
                <w:spacing w:val="0"/>
                <w:sz w:val="22"/>
                <w:szCs w:val="22"/>
                <w:lang w:eastAsia="en-GB"/>
              </w:rPr>
              <w:t>(2,101)</w:t>
            </w:r>
          </w:p>
        </w:tc>
      </w:tr>
      <w:tr w:rsidR="002252C6" w14:paraId="333C8D12" w14:textId="77777777" w:rsidTr="008805D4">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51EB9D93" w14:textId="77777777" w:rsidR="008805D4" w:rsidRPr="008805D4" w:rsidRDefault="00A724BF" w:rsidP="008805D4">
            <w:pPr>
              <w:rPr>
                <w:rFonts w:cs="Arial"/>
                <w:b/>
                <w:bCs/>
                <w:spacing w:val="0"/>
                <w:sz w:val="22"/>
                <w:szCs w:val="22"/>
                <w:lang w:eastAsia="en-GB"/>
              </w:rPr>
            </w:pPr>
            <w:r w:rsidRPr="008805D4">
              <w:rPr>
                <w:rFonts w:cs="Arial"/>
                <w:b/>
                <w:bCs/>
                <w:spacing w:val="0"/>
                <w:sz w:val="22"/>
                <w:szCs w:val="22"/>
                <w:lang w:eastAsia="en-GB"/>
              </w:rPr>
              <w:t>Closing CFR</w:t>
            </w:r>
          </w:p>
        </w:tc>
        <w:tc>
          <w:tcPr>
            <w:tcW w:w="1200" w:type="dxa"/>
            <w:tcBorders>
              <w:top w:val="nil"/>
              <w:left w:val="nil"/>
              <w:bottom w:val="single" w:sz="4" w:space="0" w:color="auto"/>
              <w:right w:val="single" w:sz="4" w:space="0" w:color="auto"/>
            </w:tcBorders>
            <w:shd w:val="clear" w:color="auto" w:fill="auto"/>
            <w:vAlign w:val="center"/>
            <w:hideMark/>
          </w:tcPr>
          <w:p w14:paraId="5708E1B3" w14:textId="77777777" w:rsidR="008805D4" w:rsidRPr="008805D4" w:rsidRDefault="00A724BF" w:rsidP="008805D4">
            <w:pPr>
              <w:jc w:val="right"/>
              <w:rPr>
                <w:rFonts w:cs="Arial"/>
                <w:b/>
                <w:bCs/>
                <w:spacing w:val="0"/>
                <w:sz w:val="22"/>
                <w:szCs w:val="22"/>
                <w:lang w:eastAsia="en-GB"/>
              </w:rPr>
            </w:pPr>
            <w:r w:rsidRPr="008805D4">
              <w:rPr>
                <w:rFonts w:cs="Arial"/>
                <w:b/>
                <w:bCs/>
                <w:spacing w:val="0"/>
                <w:sz w:val="22"/>
                <w:szCs w:val="22"/>
                <w:lang w:eastAsia="en-GB"/>
              </w:rPr>
              <w:t>88,895</w:t>
            </w:r>
          </w:p>
        </w:tc>
        <w:tc>
          <w:tcPr>
            <w:tcW w:w="1300" w:type="dxa"/>
            <w:tcBorders>
              <w:top w:val="nil"/>
              <w:left w:val="nil"/>
              <w:bottom w:val="single" w:sz="4" w:space="0" w:color="auto"/>
              <w:right w:val="single" w:sz="4" w:space="0" w:color="auto"/>
            </w:tcBorders>
            <w:shd w:val="clear" w:color="auto" w:fill="auto"/>
            <w:vAlign w:val="center"/>
            <w:hideMark/>
          </w:tcPr>
          <w:p w14:paraId="0AC76CF1" w14:textId="77777777" w:rsidR="008805D4" w:rsidRPr="008805D4" w:rsidRDefault="00A724BF" w:rsidP="008805D4">
            <w:pPr>
              <w:jc w:val="right"/>
              <w:rPr>
                <w:rFonts w:cs="Arial"/>
                <w:b/>
                <w:bCs/>
                <w:spacing w:val="0"/>
                <w:sz w:val="22"/>
                <w:szCs w:val="22"/>
                <w:lang w:eastAsia="en-GB"/>
              </w:rPr>
            </w:pPr>
            <w:r w:rsidRPr="008805D4">
              <w:rPr>
                <w:rFonts w:cs="Arial"/>
                <w:b/>
                <w:bCs/>
                <w:spacing w:val="0"/>
                <w:sz w:val="22"/>
                <w:szCs w:val="22"/>
                <w:lang w:eastAsia="en-GB"/>
              </w:rPr>
              <w:t>87,456</w:t>
            </w:r>
          </w:p>
        </w:tc>
        <w:tc>
          <w:tcPr>
            <w:tcW w:w="1300" w:type="dxa"/>
            <w:tcBorders>
              <w:top w:val="nil"/>
              <w:left w:val="nil"/>
              <w:bottom w:val="single" w:sz="4" w:space="0" w:color="auto"/>
              <w:right w:val="single" w:sz="4" w:space="0" w:color="auto"/>
            </w:tcBorders>
            <w:shd w:val="clear" w:color="auto" w:fill="auto"/>
            <w:vAlign w:val="center"/>
            <w:hideMark/>
          </w:tcPr>
          <w:p w14:paraId="1FAB1605" w14:textId="77777777" w:rsidR="008805D4" w:rsidRPr="008805D4" w:rsidRDefault="00A724BF" w:rsidP="008805D4">
            <w:pPr>
              <w:jc w:val="right"/>
              <w:rPr>
                <w:rFonts w:cs="Arial"/>
                <w:b/>
                <w:bCs/>
                <w:spacing w:val="0"/>
                <w:sz w:val="22"/>
                <w:szCs w:val="22"/>
                <w:lang w:eastAsia="en-GB"/>
              </w:rPr>
            </w:pPr>
            <w:r w:rsidRPr="008805D4">
              <w:rPr>
                <w:rFonts w:cs="Arial"/>
                <w:b/>
                <w:bCs/>
                <w:spacing w:val="0"/>
                <w:sz w:val="22"/>
                <w:szCs w:val="22"/>
                <w:lang w:eastAsia="en-GB"/>
              </w:rPr>
              <w:t>135,561</w:t>
            </w:r>
          </w:p>
        </w:tc>
        <w:tc>
          <w:tcPr>
            <w:tcW w:w="1300" w:type="dxa"/>
            <w:tcBorders>
              <w:top w:val="nil"/>
              <w:left w:val="nil"/>
              <w:bottom w:val="single" w:sz="4" w:space="0" w:color="auto"/>
              <w:right w:val="single" w:sz="4" w:space="0" w:color="auto"/>
            </w:tcBorders>
            <w:shd w:val="clear" w:color="auto" w:fill="auto"/>
            <w:vAlign w:val="center"/>
            <w:hideMark/>
          </w:tcPr>
          <w:p w14:paraId="017887B3" w14:textId="77777777" w:rsidR="008805D4" w:rsidRPr="008805D4" w:rsidRDefault="00A724BF" w:rsidP="008805D4">
            <w:pPr>
              <w:jc w:val="right"/>
              <w:rPr>
                <w:rFonts w:cs="Arial"/>
                <w:b/>
                <w:bCs/>
                <w:spacing w:val="0"/>
                <w:sz w:val="22"/>
                <w:szCs w:val="22"/>
                <w:lang w:eastAsia="en-GB"/>
              </w:rPr>
            </w:pPr>
            <w:r w:rsidRPr="008805D4">
              <w:rPr>
                <w:rFonts w:cs="Arial"/>
                <w:b/>
                <w:bCs/>
                <w:spacing w:val="0"/>
                <w:sz w:val="22"/>
                <w:szCs w:val="22"/>
                <w:lang w:eastAsia="en-GB"/>
              </w:rPr>
              <w:t>133,533</w:t>
            </w:r>
          </w:p>
        </w:tc>
        <w:tc>
          <w:tcPr>
            <w:tcW w:w="1360" w:type="dxa"/>
            <w:tcBorders>
              <w:top w:val="nil"/>
              <w:left w:val="nil"/>
              <w:bottom w:val="single" w:sz="4" w:space="0" w:color="auto"/>
              <w:right w:val="single" w:sz="4" w:space="0" w:color="auto"/>
            </w:tcBorders>
            <w:shd w:val="clear" w:color="auto" w:fill="auto"/>
            <w:vAlign w:val="center"/>
            <w:hideMark/>
          </w:tcPr>
          <w:p w14:paraId="07FA9541" w14:textId="77777777" w:rsidR="008805D4" w:rsidRPr="008805D4" w:rsidRDefault="00A724BF" w:rsidP="008805D4">
            <w:pPr>
              <w:jc w:val="right"/>
              <w:rPr>
                <w:rFonts w:cs="Arial"/>
                <w:b/>
                <w:bCs/>
                <w:spacing w:val="0"/>
                <w:sz w:val="22"/>
                <w:szCs w:val="22"/>
                <w:lang w:eastAsia="en-GB"/>
              </w:rPr>
            </w:pPr>
            <w:r w:rsidRPr="008805D4">
              <w:rPr>
                <w:rFonts w:cs="Arial"/>
                <w:b/>
                <w:bCs/>
                <w:spacing w:val="0"/>
                <w:sz w:val="22"/>
                <w:szCs w:val="22"/>
                <w:lang w:eastAsia="en-GB"/>
              </w:rPr>
              <w:t>131,432</w:t>
            </w:r>
          </w:p>
        </w:tc>
      </w:tr>
      <w:tr w:rsidR="002252C6" w14:paraId="62FA6067" w14:textId="77777777" w:rsidTr="008805D4">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34FCC232" w14:textId="77777777" w:rsidR="008805D4" w:rsidRPr="008805D4" w:rsidRDefault="00A724BF" w:rsidP="008805D4">
            <w:pPr>
              <w:rPr>
                <w:rFonts w:cs="Arial"/>
                <w:b/>
                <w:bCs/>
                <w:spacing w:val="0"/>
                <w:sz w:val="22"/>
                <w:szCs w:val="22"/>
                <w:lang w:eastAsia="en-GB"/>
              </w:rPr>
            </w:pPr>
            <w:r w:rsidRPr="008805D4">
              <w:rPr>
                <w:rFonts w:cs="Arial"/>
                <w:b/>
                <w:bCs/>
                <w:spacing w:val="0"/>
                <w:sz w:val="22"/>
                <w:szCs w:val="22"/>
                <w:lang w:eastAsia="en-GB"/>
              </w:rPr>
              <w:t>Movement in CFR</w:t>
            </w:r>
          </w:p>
        </w:tc>
        <w:tc>
          <w:tcPr>
            <w:tcW w:w="1200" w:type="dxa"/>
            <w:tcBorders>
              <w:top w:val="nil"/>
              <w:left w:val="nil"/>
              <w:bottom w:val="single" w:sz="4" w:space="0" w:color="auto"/>
              <w:right w:val="single" w:sz="4" w:space="0" w:color="auto"/>
            </w:tcBorders>
            <w:shd w:val="clear" w:color="auto" w:fill="auto"/>
            <w:vAlign w:val="center"/>
            <w:hideMark/>
          </w:tcPr>
          <w:p w14:paraId="5FB2C168" w14:textId="77777777" w:rsidR="008805D4" w:rsidRPr="008805D4" w:rsidRDefault="00A724BF" w:rsidP="008805D4">
            <w:pPr>
              <w:jc w:val="right"/>
              <w:rPr>
                <w:rFonts w:cs="Arial"/>
                <w:b/>
                <w:bCs/>
                <w:spacing w:val="0"/>
                <w:sz w:val="22"/>
                <w:szCs w:val="22"/>
                <w:lang w:eastAsia="en-GB"/>
              </w:rPr>
            </w:pPr>
            <w:r w:rsidRPr="008805D4">
              <w:rPr>
                <w:rFonts w:cs="Arial"/>
                <w:b/>
                <w:bCs/>
                <w:spacing w:val="0"/>
                <w:sz w:val="22"/>
                <w:szCs w:val="22"/>
                <w:lang w:eastAsia="en-GB"/>
              </w:rPr>
              <w:t>(1,382)</w:t>
            </w:r>
          </w:p>
        </w:tc>
        <w:tc>
          <w:tcPr>
            <w:tcW w:w="1300" w:type="dxa"/>
            <w:tcBorders>
              <w:top w:val="nil"/>
              <w:left w:val="nil"/>
              <w:bottom w:val="single" w:sz="4" w:space="0" w:color="auto"/>
              <w:right w:val="single" w:sz="4" w:space="0" w:color="auto"/>
            </w:tcBorders>
            <w:shd w:val="clear" w:color="auto" w:fill="auto"/>
            <w:vAlign w:val="center"/>
            <w:hideMark/>
          </w:tcPr>
          <w:p w14:paraId="67B28EAE" w14:textId="77777777" w:rsidR="008805D4" w:rsidRPr="008805D4" w:rsidRDefault="00A724BF" w:rsidP="008805D4">
            <w:pPr>
              <w:jc w:val="right"/>
              <w:rPr>
                <w:rFonts w:cs="Arial"/>
                <w:b/>
                <w:bCs/>
                <w:spacing w:val="0"/>
                <w:sz w:val="22"/>
                <w:szCs w:val="22"/>
                <w:lang w:eastAsia="en-GB"/>
              </w:rPr>
            </w:pPr>
            <w:r w:rsidRPr="008805D4">
              <w:rPr>
                <w:rFonts w:cs="Arial"/>
                <w:b/>
                <w:bCs/>
                <w:spacing w:val="0"/>
                <w:sz w:val="22"/>
                <w:szCs w:val="22"/>
                <w:lang w:eastAsia="en-GB"/>
              </w:rPr>
              <w:t>(1,439)</w:t>
            </w:r>
          </w:p>
        </w:tc>
        <w:tc>
          <w:tcPr>
            <w:tcW w:w="1300" w:type="dxa"/>
            <w:tcBorders>
              <w:top w:val="nil"/>
              <w:left w:val="nil"/>
              <w:bottom w:val="single" w:sz="4" w:space="0" w:color="auto"/>
              <w:right w:val="single" w:sz="4" w:space="0" w:color="auto"/>
            </w:tcBorders>
            <w:shd w:val="clear" w:color="auto" w:fill="auto"/>
            <w:vAlign w:val="center"/>
            <w:hideMark/>
          </w:tcPr>
          <w:p w14:paraId="48188DEA" w14:textId="77777777" w:rsidR="008805D4" w:rsidRPr="008805D4" w:rsidRDefault="00A724BF" w:rsidP="008805D4">
            <w:pPr>
              <w:jc w:val="right"/>
              <w:rPr>
                <w:rFonts w:cs="Arial"/>
                <w:b/>
                <w:bCs/>
                <w:spacing w:val="0"/>
                <w:sz w:val="22"/>
                <w:szCs w:val="22"/>
                <w:lang w:eastAsia="en-GB"/>
              </w:rPr>
            </w:pPr>
            <w:r w:rsidRPr="008805D4">
              <w:rPr>
                <w:rFonts w:cs="Arial"/>
                <w:b/>
                <w:bCs/>
                <w:spacing w:val="0"/>
                <w:sz w:val="22"/>
                <w:szCs w:val="22"/>
                <w:lang w:eastAsia="en-GB"/>
              </w:rPr>
              <w:t>48,105</w:t>
            </w:r>
          </w:p>
        </w:tc>
        <w:tc>
          <w:tcPr>
            <w:tcW w:w="1300" w:type="dxa"/>
            <w:tcBorders>
              <w:top w:val="nil"/>
              <w:left w:val="nil"/>
              <w:bottom w:val="single" w:sz="4" w:space="0" w:color="auto"/>
              <w:right w:val="single" w:sz="4" w:space="0" w:color="auto"/>
            </w:tcBorders>
            <w:shd w:val="clear" w:color="auto" w:fill="auto"/>
            <w:vAlign w:val="center"/>
            <w:hideMark/>
          </w:tcPr>
          <w:p w14:paraId="710928A4" w14:textId="77777777" w:rsidR="008805D4" w:rsidRPr="008805D4" w:rsidRDefault="00A724BF" w:rsidP="008805D4">
            <w:pPr>
              <w:jc w:val="right"/>
              <w:rPr>
                <w:rFonts w:cs="Arial"/>
                <w:b/>
                <w:bCs/>
                <w:spacing w:val="0"/>
                <w:sz w:val="22"/>
                <w:szCs w:val="22"/>
                <w:lang w:eastAsia="en-GB"/>
              </w:rPr>
            </w:pPr>
            <w:r w:rsidRPr="008805D4">
              <w:rPr>
                <w:rFonts w:cs="Arial"/>
                <w:b/>
                <w:bCs/>
                <w:spacing w:val="0"/>
                <w:sz w:val="22"/>
                <w:szCs w:val="22"/>
                <w:lang w:eastAsia="en-GB"/>
              </w:rPr>
              <w:t>(2,028)</w:t>
            </w:r>
          </w:p>
        </w:tc>
        <w:tc>
          <w:tcPr>
            <w:tcW w:w="1360" w:type="dxa"/>
            <w:tcBorders>
              <w:top w:val="nil"/>
              <w:left w:val="nil"/>
              <w:bottom w:val="single" w:sz="4" w:space="0" w:color="auto"/>
              <w:right w:val="single" w:sz="4" w:space="0" w:color="auto"/>
            </w:tcBorders>
            <w:shd w:val="clear" w:color="auto" w:fill="auto"/>
            <w:vAlign w:val="center"/>
            <w:hideMark/>
          </w:tcPr>
          <w:p w14:paraId="0769053B" w14:textId="77777777" w:rsidR="008805D4" w:rsidRPr="008805D4" w:rsidRDefault="00A724BF" w:rsidP="008805D4">
            <w:pPr>
              <w:jc w:val="right"/>
              <w:rPr>
                <w:rFonts w:cs="Arial"/>
                <w:b/>
                <w:bCs/>
                <w:spacing w:val="0"/>
                <w:sz w:val="22"/>
                <w:szCs w:val="22"/>
                <w:lang w:eastAsia="en-GB"/>
              </w:rPr>
            </w:pPr>
            <w:r w:rsidRPr="008805D4">
              <w:rPr>
                <w:rFonts w:cs="Arial"/>
                <w:b/>
                <w:bCs/>
                <w:spacing w:val="0"/>
                <w:sz w:val="22"/>
                <w:szCs w:val="22"/>
                <w:lang w:eastAsia="en-GB"/>
              </w:rPr>
              <w:t>(2,101)</w:t>
            </w:r>
          </w:p>
        </w:tc>
      </w:tr>
    </w:tbl>
    <w:p w14:paraId="3A51438F" w14:textId="77777777" w:rsidR="008A7D92" w:rsidRPr="00416DEC" w:rsidRDefault="00A724BF" w:rsidP="005E4307">
      <w:pPr>
        <w:pStyle w:val="BodyText"/>
        <w:spacing w:before="120" w:after="120"/>
        <w:ind w:left="357"/>
        <w:jc w:val="both"/>
        <w:rPr>
          <w:rFonts w:ascii="Arial" w:hAnsi="Arial" w:cs="Arial"/>
          <w:sz w:val="20"/>
          <w:szCs w:val="20"/>
          <w:lang w:val="en-GB"/>
        </w:rPr>
      </w:pPr>
      <w:r w:rsidRPr="00B66EDA">
        <w:rPr>
          <w:rFonts w:ascii="Arial" w:hAnsi="Arial" w:cs="Arial"/>
          <w:sz w:val="20"/>
          <w:szCs w:val="20"/>
          <w:lang w:val="en-GB"/>
        </w:rPr>
        <w:t xml:space="preserve">A key aspect of the regulatory and professional guidance is that elected members are aware of the size and scope of any commercial activity in relation to the authority’s overall </w:t>
      </w:r>
      <w:r w:rsidRPr="00B66EDA">
        <w:rPr>
          <w:rFonts w:ascii="Arial" w:hAnsi="Arial" w:cs="Arial"/>
          <w:sz w:val="20"/>
          <w:szCs w:val="20"/>
          <w:lang w:val="en-GB"/>
        </w:rPr>
        <w:lastRenderedPageBreak/>
        <w:t xml:space="preserve">financial position.  The capital expenditure figures shown in 2.1 and the details above demonstrate the scope of this activity and, by approving these figures, consider the scale </w:t>
      </w:r>
      <w:r w:rsidRPr="00416DEC">
        <w:rPr>
          <w:rFonts w:ascii="Arial" w:hAnsi="Arial" w:cs="Arial"/>
          <w:sz w:val="20"/>
          <w:szCs w:val="20"/>
          <w:lang w:val="en-GB"/>
        </w:rPr>
        <w:t>proportionate to the Authority’s remaining activity.</w:t>
      </w:r>
    </w:p>
    <w:p w14:paraId="5A998D41" w14:textId="77777777" w:rsidR="00B73B8D" w:rsidRPr="00416DEC" w:rsidRDefault="00A724BF" w:rsidP="00B73B8D">
      <w:pPr>
        <w:pStyle w:val="Subheading"/>
        <w:rPr>
          <w:sz w:val="20"/>
          <w:szCs w:val="20"/>
        </w:rPr>
      </w:pPr>
      <w:bookmarkStart w:id="106" w:name="_Toc120883155"/>
      <w:bookmarkStart w:id="107" w:name="_Toc56008269"/>
      <w:r w:rsidRPr="00416DEC">
        <w:rPr>
          <w:sz w:val="20"/>
          <w:szCs w:val="20"/>
        </w:rPr>
        <w:t>Liability Benchmark</w:t>
      </w:r>
      <w:bookmarkEnd w:id="106"/>
    </w:p>
    <w:p w14:paraId="4FCCDB51" w14:textId="77777777" w:rsidR="00B73B8D" w:rsidRPr="00416DEC" w:rsidRDefault="00A724BF" w:rsidP="00B73B8D">
      <w:pPr>
        <w:pStyle w:val="BodyText"/>
        <w:spacing w:before="120" w:after="120"/>
        <w:jc w:val="both"/>
        <w:rPr>
          <w:rFonts w:ascii="Arial" w:hAnsi="Arial" w:cs="Arial"/>
          <w:iCs/>
          <w:color w:val="000000" w:themeColor="text1"/>
          <w:sz w:val="20"/>
          <w:szCs w:val="20"/>
        </w:rPr>
      </w:pPr>
      <w:r w:rsidRPr="00416DEC">
        <w:rPr>
          <w:rFonts w:ascii="Arial" w:hAnsi="Arial" w:cs="Arial"/>
          <w:iCs/>
          <w:color w:val="000000" w:themeColor="text1"/>
          <w:sz w:val="20"/>
          <w:szCs w:val="20"/>
        </w:rPr>
        <w:t>A third and new prudential indicator for 2023/24 is the Liability Benchmark (LB).  The Authority is required to estimate and measure the LB for the forthcoming financial year and the following two financial years, as a minimum.</w:t>
      </w:r>
    </w:p>
    <w:p w14:paraId="01069110" w14:textId="77777777" w:rsidR="00B73B8D" w:rsidRPr="00416DEC" w:rsidRDefault="00A724BF" w:rsidP="00B73B8D">
      <w:pPr>
        <w:pStyle w:val="BodyText"/>
        <w:spacing w:before="120" w:after="120"/>
        <w:jc w:val="both"/>
        <w:rPr>
          <w:rFonts w:ascii="Arial" w:hAnsi="Arial" w:cs="Arial"/>
          <w:iCs/>
          <w:color w:val="000000" w:themeColor="text1"/>
          <w:sz w:val="20"/>
          <w:szCs w:val="20"/>
        </w:rPr>
      </w:pPr>
      <w:r w:rsidRPr="00416DEC">
        <w:rPr>
          <w:rFonts w:ascii="Arial" w:hAnsi="Arial" w:cs="Arial"/>
          <w:iCs/>
          <w:color w:val="000000" w:themeColor="text1"/>
          <w:sz w:val="20"/>
          <w:szCs w:val="20"/>
        </w:rPr>
        <w:t>There are four components to the LB: -</w:t>
      </w:r>
    </w:p>
    <w:p w14:paraId="73F7D618" w14:textId="77777777" w:rsidR="00B73B8D" w:rsidRPr="00416DEC" w:rsidRDefault="00A724BF" w:rsidP="00B73B8D">
      <w:pPr>
        <w:pStyle w:val="BodyText"/>
        <w:numPr>
          <w:ilvl w:val="0"/>
          <w:numId w:val="54"/>
        </w:numPr>
        <w:spacing w:before="120" w:after="120"/>
        <w:jc w:val="both"/>
        <w:rPr>
          <w:rFonts w:ascii="Arial" w:hAnsi="Arial" w:cs="Arial"/>
          <w:iCs/>
          <w:color w:val="000000" w:themeColor="text1"/>
          <w:sz w:val="20"/>
          <w:szCs w:val="20"/>
        </w:rPr>
      </w:pPr>
      <w:r w:rsidRPr="00416DEC">
        <w:rPr>
          <w:rFonts w:ascii="Arial" w:hAnsi="Arial" w:cs="Arial"/>
          <w:b/>
          <w:bCs/>
          <w:iCs/>
          <w:color w:val="000000" w:themeColor="text1"/>
          <w:sz w:val="20"/>
          <w:szCs w:val="20"/>
        </w:rPr>
        <w:t>Existing loan debt outstanding</w:t>
      </w:r>
      <w:r w:rsidRPr="00416DEC">
        <w:rPr>
          <w:rFonts w:ascii="Arial" w:hAnsi="Arial" w:cs="Arial"/>
          <w:iCs/>
          <w:color w:val="000000" w:themeColor="text1"/>
          <w:sz w:val="20"/>
          <w:szCs w:val="20"/>
        </w:rPr>
        <w:t xml:space="preserve">: the Authority’s existing loans that are still outstanding in future years.  </w:t>
      </w:r>
    </w:p>
    <w:p w14:paraId="05DD5B46" w14:textId="77777777" w:rsidR="00B73B8D" w:rsidRPr="00416DEC" w:rsidRDefault="00A724BF" w:rsidP="008805D4">
      <w:pPr>
        <w:pStyle w:val="BodyText"/>
        <w:numPr>
          <w:ilvl w:val="0"/>
          <w:numId w:val="54"/>
        </w:numPr>
        <w:spacing w:before="120" w:after="120"/>
        <w:jc w:val="both"/>
        <w:rPr>
          <w:rFonts w:ascii="Arial" w:hAnsi="Arial" w:cs="Arial"/>
          <w:i/>
          <w:color w:val="0000E1"/>
          <w:sz w:val="20"/>
          <w:szCs w:val="20"/>
        </w:rPr>
      </w:pPr>
      <w:r w:rsidRPr="00416DEC">
        <w:rPr>
          <w:rFonts w:ascii="Arial" w:hAnsi="Arial" w:cs="Arial"/>
          <w:b/>
          <w:bCs/>
          <w:iCs/>
          <w:color w:val="000000" w:themeColor="text1"/>
          <w:sz w:val="20"/>
          <w:szCs w:val="20"/>
        </w:rPr>
        <w:t>Loans CFR</w:t>
      </w:r>
      <w:r w:rsidRPr="00416DEC">
        <w:rPr>
          <w:rFonts w:ascii="Arial" w:hAnsi="Arial" w:cs="Arial"/>
          <w:iCs/>
          <w:color w:val="000000" w:themeColor="text1"/>
          <w:sz w:val="20"/>
          <w:szCs w:val="20"/>
        </w:rPr>
        <w:t>: this is calculated in accordance with the loans CFR definition in the Prudential Code and projected into the future based on approved prudential borrowing and planned MRP.</w:t>
      </w:r>
    </w:p>
    <w:p w14:paraId="18033186" w14:textId="77777777" w:rsidR="00B73B8D" w:rsidRPr="00416DEC" w:rsidRDefault="00A724BF" w:rsidP="00B73B8D">
      <w:pPr>
        <w:pStyle w:val="BodyText"/>
        <w:numPr>
          <w:ilvl w:val="0"/>
          <w:numId w:val="54"/>
        </w:numPr>
        <w:spacing w:before="120" w:after="120"/>
        <w:jc w:val="both"/>
        <w:rPr>
          <w:rFonts w:ascii="Arial" w:hAnsi="Arial" w:cs="Arial"/>
          <w:iCs/>
          <w:color w:val="000000" w:themeColor="text1"/>
          <w:sz w:val="20"/>
          <w:szCs w:val="20"/>
        </w:rPr>
      </w:pPr>
      <w:r w:rsidRPr="00416DEC">
        <w:rPr>
          <w:rFonts w:ascii="Arial" w:hAnsi="Arial" w:cs="Arial"/>
          <w:b/>
          <w:bCs/>
          <w:iCs/>
          <w:color w:val="000000" w:themeColor="text1"/>
          <w:sz w:val="20"/>
          <w:szCs w:val="20"/>
        </w:rPr>
        <w:t>Net loans requirement</w:t>
      </w:r>
      <w:r w:rsidRPr="00416DEC">
        <w:rPr>
          <w:rFonts w:ascii="Arial" w:hAnsi="Arial" w:cs="Arial"/>
          <w:iCs/>
          <w:color w:val="000000" w:themeColor="text1"/>
          <w:sz w:val="20"/>
          <w:szCs w:val="20"/>
        </w:rPr>
        <w:t xml:space="preserve">: this will show the Authority’s gross loan debt less treasury management investments at the last financial year-end, projected into the future and based on its approved prudential borrowing, planned MRP and any other major cash flows forecast. </w:t>
      </w:r>
    </w:p>
    <w:p w14:paraId="4D8F91C8" w14:textId="77777777" w:rsidR="00B73B8D" w:rsidRPr="00416DEC" w:rsidRDefault="00A724BF" w:rsidP="00B73B8D">
      <w:pPr>
        <w:pStyle w:val="BodyText"/>
        <w:numPr>
          <w:ilvl w:val="0"/>
          <w:numId w:val="54"/>
        </w:numPr>
        <w:spacing w:before="120" w:after="120"/>
        <w:jc w:val="both"/>
        <w:rPr>
          <w:rFonts w:ascii="Arial" w:hAnsi="Arial" w:cs="Arial"/>
          <w:iCs/>
          <w:color w:val="000000" w:themeColor="text1"/>
          <w:sz w:val="20"/>
          <w:szCs w:val="20"/>
        </w:rPr>
      </w:pPr>
      <w:r w:rsidRPr="00416DEC">
        <w:rPr>
          <w:rFonts w:ascii="Arial" w:hAnsi="Arial" w:cs="Arial"/>
          <w:b/>
          <w:bCs/>
          <w:iCs/>
          <w:color w:val="000000" w:themeColor="text1"/>
          <w:sz w:val="20"/>
          <w:szCs w:val="20"/>
        </w:rPr>
        <w:t>Liability benchmark</w:t>
      </w:r>
      <w:r w:rsidRPr="00416DEC">
        <w:rPr>
          <w:rFonts w:ascii="Arial" w:hAnsi="Arial" w:cs="Arial"/>
          <w:iCs/>
          <w:color w:val="000000" w:themeColor="text1"/>
          <w:sz w:val="20"/>
          <w:szCs w:val="20"/>
        </w:rPr>
        <w:t xml:space="preserve"> (or gross loans requirement): this equals net loans requirement plus short-term liquidity allowance. </w:t>
      </w:r>
    </w:p>
    <w:p w14:paraId="17D89707" w14:textId="77777777" w:rsidR="00154CFA" w:rsidRPr="00416DEC" w:rsidRDefault="00A724BF" w:rsidP="00045CEC">
      <w:pPr>
        <w:pStyle w:val="subhead"/>
        <w:numPr>
          <w:ilvl w:val="0"/>
          <w:numId w:val="0"/>
        </w:numPr>
        <w:rPr>
          <w:b w:val="0"/>
          <w:bCs/>
          <w:noProof w:val="0"/>
          <w:sz w:val="20"/>
          <w:szCs w:val="20"/>
        </w:rPr>
      </w:pPr>
      <w:r w:rsidRPr="00416DEC">
        <w:rPr>
          <w:b w:val="0"/>
          <w:bCs/>
          <w:noProof w:val="0"/>
          <w:sz w:val="20"/>
          <w:szCs w:val="20"/>
        </w:rPr>
        <w:t xml:space="preserve">This Council’s </w:t>
      </w:r>
      <w:r w:rsidR="00416DEC" w:rsidRPr="00416DEC">
        <w:rPr>
          <w:b w:val="0"/>
          <w:bCs/>
          <w:noProof w:val="0"/>
          <w:sz w:val="20"/>
          <w:szCs w:val="20"/>
        </w:rPr>
        <w:t>forecast liability benchmark</w:t>
      </w:r>
      <w:r w:rsidRPr="00416DEC">
        <w:rPr>
          <w:b w:val="0"/>
          <w:bCs/>
          <w:noProof w:val="0"/>
          <w:sz w:val="20"/>
          <w:szCs w:val="20"/>
        </w:rPr>
        <w:t xml:space="preserve"> is shown for the next ten years in the following chart:</w:t>
      </w:r>
    </w:p>
    <w:p w14:paraId="6B269433" w14:textId="77777777" w:rsidR="00154CFA" w:rsidRDefault="00A724BF" w:rsidP="00154CFA">
      <w:pPr>
        <w:pStyle w:val="subhead"/>
        <w:numPr>
          <w:ilvl w:val="0"/>
          <w:numId w:val="0"/>
        </w:numPr>
        <w:jc w:val="center"/>
        <w:rPr>
          <w:noProof w:val="0"/>
          <w:sz w:val="20"/>
          <w:szCs w:val="20"/>
        </w:rPr>
      </w:pPr>
      <w:r>
        <w:rPr>
          <w:sz w:val="20"/>
          <w:szCs w:val="20"/>
        </w:rPr>
        <w:drawing>
          <wp:inline distT="0" distB="0" distL="0" distR="0" wp14:anchorId="7905EBEC" wp14:editId="7338A7CE">
            <wp:extent cx="4830445" cy="3167624"/>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2388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839173" cy="3173347"/>
                    </a:xfrm>
                    <a:prstGeom prst="rect">
                      <a:avLst/>
                    </a:prstGeom>
                    <a:noFill/>
                  </pic:spPr>
                </pic:pic>
              </a:graphicData>
            </a:graphic>
          </wp:inline>
        </w:drawing>
      </w:r>
    </w:p>
    <w:p w14:paraId="42104C42" w14:textId="77777777" w:rsidR="00EB796A" w:rsidRPr="00B66EDA" w:rsidRDefault="00A724BF" w:rsidP="00B73B8D">
      <w:pPr>
        <w:pStyle w:val="subhead"/>
        <w:rPr>
          <w:noProof w:val="0"/>
          <w:sz w:val="20"/>
          <w:szCs w:val="20"/>
        </w:rPr>
      </w:pPr>
      <w:r>
        <w:rPr>
          <w:noProof w:val="0"/>
          <w:sz w:val="20"/>
          <w:szCs w:val="20"/>
        </w:rPr>
        <w:t>Co</w:t>
      </w:r>
      <w:r w:rsidR="00B02E25" w:rsidRPr="00B66EDA">
        <w:rPr>
          <w:noProof w:val="0"/>
          <w:sz w:val="20"/>
          <w:szCs w:val="20"/>
        </w:rPr>
        <w:t>re funds and expected investment balances</w:t>
      </w:r>
      <w:bookmarkEnd w:id="107"/>
      <w:r w:rsidR="00B02E25" w:rsidRPr="00B66EDA">
        <w:rPr>
          <w:noProof w:val="0"/>
          <w:sz w:val="20"/>
          <w:szCs w:val="20"/>
        </w:rPr>
        <w:t xml:space="preserve"> </w:t>
      </w:r>
    </w:p>
    <w:p w14:paraId="064A50D4" w14:textId="77777777" w:rsidR="00EB796A" w:rsidRDefault="00A724BF" w:rsidP="005E4307">
      <w:pPr>
        <w:pStyle w:val="BodyText"/>
        <w:spacing w:before="120" w:after="120"/>
        <w:ind w:left="357"/>
        <w:jc w:val="both"/>
        <w:rPr>
          <w:rFonts w:ascii="Arial" w:hAnsi="Arial" w:cs="Arial"/>
          <w:bCs/>
          <w:sz w:val="20"/>
          <w:szCs w:val="20"/>
          <w:lang w:val="en-GB"/>
        </w:rPr>
      </w:pPr>
      <w:r w:rsidRPr="00B66EDA">
        <w:rPr>
          <w:rFonts w:ascii="Arial" w:hAnsi="Arial" w:cs="Arial"/>
          <w:bCs/>
          <w:sz w:val="20"/>
          <w:szCs w:val="20"/>
          <w:lang w:val="en-GB"/>
        </w:rPr>
        <w:t>The application of resources (capital receipts, reserves etc.) to either finance capital expenditure or other budget decisions to support the revenue budget will have an ongoing impact on investments unless resources are supplemented each year from new sources (asset sales etc.).  Detailed below are estimates of the year-end balances for each resource and anticipated day-to-day cash flow balances.</w:t>
      </w:r>
    </w:p>
    <w:p w14:paraId="6C0B881D" w14:textId="77777777" w:rsidR="00154CFA" w:rsidRDefault="00154CFA" w:rsidP="005E4307">
      <w:pPr>
        <w:pStyle w:val="BodyText"/>
        <w:spacing w:before="120" w:after="120"/>
        <w:ind w:left="357"/>
        <w:jc w:val="both"/>
        <w:rPr>
          <w:rFonts w:ascii="Arial" w:hAnsi="Arial" w:cs="Arial"/>
          <w:bCs/>
          <w:sz w:val="20"/>
          <w:szCs w:val="20"/>
          <w:lang w:val="en-GB"/>
        </w:rPr>
      </w:pPr>
    </w:p>
    <w:p w14:paraId="1171BC18" w14:textId="77777777" w:rsidR="00416DEC" w:rsidRPr="00B66EDA" w:rsidRDefault="00416DEC" w:rsidP="005E4307">
      <w:pPr>
        <w:pStyle w:val="BodyText"/>
        <w:spacing w:before="120" w:after="120"/>
        <w:ind w:left="357"/>
        <w:jc w:val="both"/>
        <w:rPr>
          <w:rFonts w:ascii="Arial" w:hAnsi="Arial" w:cs="Arial"/>
          <w:bCs/>
          <w:sz w:val="20"/>
          <w:szCs w:val="20"/>
          <w:lang w:val="en-GB"/>
        </w:rPr>
      </w:pPr>
    </w:p>
    <w:tbl>
      <w:tblPr>
        <w:tblW w:w="9200" w:type="dxa"/>
        <w:tblLook w:val="04A0" w:firstRow="1" w:lastRow="0" w:firstColumn="1" w:lastColumn="0" w:noHBand="0" w:noVBand="1"/>
      </w:tblPr>
      <w:tblGrid>
        <w:gridCol w:w="2740"/>
        <w:gridCol w:w="1200"/>
        <w:gridCol w:w="1300"/>
        <w:gridCol w:w="1300"/>
        <w:gridCol w:w="1300"/>
        <w:gridCol w:w="1360"/>
      </w:tblGrid>
      <w:tr w:rsidR="00515539" w:rsidRPr="00515539" w14:paraId="76EB7405" w14:textId="77777777" w:rsidTr="00515539">
        <w:trPr>
          <w:trHeight w:val="315"/>
        </w:trPr>
        <w:tc>
          <w:tcPr>
            <w:tcW w:w="2740" w:type="dxa"/>
            <w:tcBorders>
              <w:top w:val="single" w:sz="4" w:space="0" w:color="auto"/>
              <w:left w:val="single" w:sz="4" w:space="0" w:color="auto"/>
              <w:bottom w:val="single" w:sz="4" w:space="0" w:color="auto"/>
              <w:right w:val="single" w:sz="4" w:space="0" w:color="auto"/>
            </w:tcBorders>
            <w:shd w:val="clear" w:color="000000" w:fill="B3B3B3"/>
            <w:vAlign w:val="center"/>
            <w:hideMark/>
          </w:tcPr>
          <w:p w14:paraId="2138CB28" w14:textId="77777777" w:rsidR="00515539" w:rsidRPr="00515539" w:rsidRDefault="00515539" w:rsidP="00515539">
            <w:pPr>
              <w:rPr>
                <w:rFonts w:cs="Arial"/>
                <w:b/>
                <w:bCs/>
                <w:spacing w:val="0"/>
                <w:sz w:val="22"/>
                <w:szCs w:val="22"/>
                <w:lang w:eastAsia="en-GB"/>
              </w:rPr>
            </w:pPr>
            <w:r w:rsidRPr="00515539">
              <w:rPr>
                <w:rFonts w:cs="Arial"/>
                <w:b/>
                <w:bCs/>
                <w:spacing w:val="0"/>
                <w:sz w:val="22"/>
                <w:szCs w:val="22"/>
                <w:lang w:eastAsia="en-GB"/>
              </w:rPr>
              <w:lastRenderedPageBreak/>
              <w:t>Year End Resources</w:t>
            </w:r>
          </w:p>
        </w:tc>
        <w:tc>
          <w:tcPr>
            <w:tcW w:w="1200" w:type="dxa"/>
            <w:tcBorders>
              <w:top w:val="single" w:sz="4" w:space="0" w:color="auto"/>
              <w:left w:val="nil"/>
              <w:bottom w:val="single" w:sz="4" w:space="0" w:color="auto"/>
              <w:right w:val="single" w:sz="4" w:space="0" w:color="auto"/>
            </w:tcBorders>
            <w:shd w:val="clear" w:color="000000" w:fill="B3B3B3"/>
            <w:vAlign w:val="center"/>
            <w:hideMark/>
          </w:tcPr>
          <w:p w14:paraId="1AD680E5" w14:textId="77777777" w:rsidR="00515539" w:rsidRPr="00515539" w:rsidRDefault="00515539" w:rsidP="00515539">
            <w:pPr>
              <w:jc w:val="center"/>
              <w:rPr>
                <w:rFonts w:cs="Arial"/>
                <w:b/>
                <w:bCs/>
                <w:spacing w:val="0"/>
                <w:sz w:val="22"/>
                <w:szCs w:val="22"/>
                <w:lang w:eastAsia="en-GB"/>
              </w:rPr>
            </w:pPr>
            <w:r w:rsidRPr="00515539">
              <w:rPr>
                <w:rFonts w:cs="Arial"/>
                <w:b/>
                <w:bCs/>
                <w:spacing w:val="0"/>
                <w:sz w:val="22"/>
                <w:szCs w:val="22"/>
                <w:lang w:eastAsia="en-GB"/>
              </w:rPr>
              <w:t>2021/22</w:t>
            </w:r>
          </w:p>
        </w:tc>
        <w:tc>
          <w:tcPr>
            <w:tcW w:w="1300" w:type="dxa"/>
            <w:tcBorders>
              <w:top w:val="single" w:sz="4" w:space="0" w:color="auto"/>
              <w:left w:val="nil"/>
              <w:bottom w:val="single" w:sz="4" w:space="0" w:color="auto"/>
              <w:right w:val="single" w:sz="4" w:space="0" w:color="auto"/>
            </w:tcBorders>
            <w:shd w:val="clear" w:color="000000" w:fill="B3B3B3"/>
            <w:vAlign w:val="center"/>
            <w:hideMark/>
          </w:tcPr>
          <w:p w14:paraId="321B8FFC" w14:textId="77777777" w:rsidR="00515539" w:rsidRPr="00515539" w:rsidRDefault="00515539" w:rsidP="00515539">
            <w:pPr>
              <w:jc w:val="center"/>
              <w:rPr>
                <w:rFonts w:cs="Arial"/>
                <w:b/>
                <w:bCs/>
                <w:spacing w:val="0"/>
                <w:sz w:val="22"/>
                <w:szCs w:val="22"/>
                <w:lang w:eastAsia="en-GB"/>
              </w:rPr>
            </w:pPr>
            <w:r w:rsidRPr="00515539">
              <w:rPr>
                <w:rFonts w:cs="Arial"/>
                <w:b/>
                <w:bCs/>
                <w:spacing w:val="0"/>
                <w:sz w:val="22"/>
                <w:szCs w:val="22"/>
                <w:lang w:eastAsia="en-GB"/>
              </w:rPr>
              <w:t>2022/23</w:t>
            </w:r>
          </w:p>
        </w:tc>
        <w:tc>
          <w:tcPr>
            <w:tcW w:w="1300" w:type="dxa"/>
            <w:tcBorders>
              <w:top w:val="single" w:sz="4" w:space="0" w:color="auto"/>
              <w:left w:val="nil"/>
              <w:bottom w:val="single" w:sz="4" w:space="0" w:color="auto"/>
              <w:right w:val="single" w:sz="4" w:space="0" w:color="auto"/>
            </w:tcBorders>
            <w:shd w:val="clear" w:color="000000" w:fill="B3B3B3"/>
            <w:vAlign w:val="center"/>
            <w:hideMark/>
          </w:tcPr>
          <w:p w14:paraId="666F7243" w14:textId="77777777" w:rsidR="00515539" w:rsidRPr="00515539" w:rsidRDefault="00515539" w:rsidP="00515539">
            <w:pPr>
              <w:jc w:val="center"/>
              <w:rPr>
                <w:rFonts w:cs="Arial"/>
                <w:b/>
                <w:bCs/>
                <w:spacing w:val="0"/>
                <w:sz w:val="22"/>
                <w:szCs w:val="22"/>
                <w:lang w:eastAsia="en-GB"/>
              </w:rPr>
            </w:pPr>
            <w:r w:rsidRPr="00515539">
              <w:rPr>
                <w:rFonts w:cs="Arial"/>
                <w:b/>
                <w:bCs/>
                <w:spacing w:val="0"/>
                <w:sz w:val="22"/>
                <w:szCs w:val="22"/>
                <w:lang w:eastAsia="en-GB"/>
              </w:rPr>
              <w:t>2023/24</w:t>
            </w:r>
          </w:p>
        </w:tc>
        <w:tc>
          <w:tcPr>
            <w:tcW w:w="1300" w:type="dxa"/>
            <w:tcBorders>
              <w:top w:val="single" w:sz="4" w:space="0" w:color="auto"/>
              <w:left w:val="nil"/>
              <w:bottom w:val="single" w:sz="4" w:space="0" w:color="auto"/>
              <w:right w:val="single" w:sz="4" w:space="0" w:color="auto"/>
            </w:tcBorders>
            <w:shd w:val="clear" w:color="000000" w:fill="B3B3B3"/>
            <w:vAlign w:val="center"/>
            <w:hideMark/>
          </w:tcPr>
          <w:p w14:paraId="5C7F6BA0" w14:textId="77777777" w:rsidR="00515539" w:rsidRPr="00515539" w:rsidRDefault="00515539" w:rsidP="00515539">
            <w:pPr>
              <w:jc w:val="center"/>
              <w:rPr>
                <w:rFonts w:cs="Arial"/>
                <w:b/>
                <w:bCs/>
                <w:spacing w:val="0"/>
                <w:sz w:val="22"/>
                <w:szCs w:val="22"/>
                <w:lang w:eastAsia="en-GB"/>
              </w:rPr>
            </w:pPr>
            <w:r w:rsidRPr="00515539">
              <w:rPr>
                <w:rFonts w:cs="Arial"/>
                <w:b/>
                <w:bCs/>
                <w:spacing w:val="0"/>
                <w:sz w:val="22"/>
                <w:szCs w:val="22"/>
                <w:lang w:eastAsia="en-GB"/>
              </w:rPr>
              <w:t>2024/25</w:t>
            </w:r>
          </w:p>
        </w:tc>
        <w:tc>
          <w:tcPr>
            <w:tcW w:w="1360" w:type="dxa"/>
            <w:tcBorders>
              <w:top w:val="single" w:sz="4" w:space="0" w:color="auto"/>
              <w:left w:val="nil"/>
              <w:bottom w:val="single" w:sz="4" w:space="0" w:color="auto"/>
              <w:right w:val="single" w:sz="4" w:space="0" w:color="auto"/>
            </w:tcBorders>
            <w:shd w:val="clear" w:color="000000" w:fill="B3B3B3"/>
            <w:vAlign w:val="center"/>
            <w:hideMark/>
          </w:tcPr>
          <w:p w14:paraId="1F50B98F" w14:textId="77777777" w:rsidR="00515539" w:rsidRPr="00515539" w:rsidRDefault="00515539" w:rsidP="00515539">
            <w:pPr>
              <w:jc w:val="center"/>
              <w:rPr>
                <w:rFonts w:cs="Arial"/>
                <w:b/>
                <w:bCs/>
                <w:spacing w:val="0"/>
                <w:sz w:val="22"/>
                <w:szCs w:val="22"/>
                <w:lang w:eastAsia="en-GB"/>
              </w:rPr>
            </w:pPr>
            <w:r w:rsidRPr="00515539">
              <w:rPr>
                <w:rFonts w:cs="Arial"/>
                <w:b/>
                <w:bCs/>
                <w:spacing w:val="0"/>
                <w:sz w:val="22"/>
                <w:szCs w:val="22"/>
                <w:lang w:eastAsia="en-GB"/>
              </w:rPr>
              <w:t>2025/26</w:t>
            </w:r>
          </w:p>
        </w:tc>
      </w:tr>
      <w:tr w:rsidR="00515539" w:rsidRPr="00515539" w14:paraId="6E4664EB" w14:textId="77777777" w:rsidTr="00515539">
        <w:trPr>
          <w:trHeight w:val="315"/>
        </w:trPr>
        <w:tc>
          <w:tcPr>
            <w:tcW w:w="2740" w:type="dxa"/>
            <w:tcBorders>
              <w:top w:val="nil"/>
              <w:left w:val="single" w:sz="4" w:space="0" w:color="auto"/>
              <w:bottom w:val="single" w:sz="4" w:space="0" w:color="auto"/>
              <w:right w:val="single" w:sz="4" w:space="0" w:color="auto"/>
            </w:tcBorders>
            <w:shd w:val="clear" w:color="000000" w:fill="B3B3B3"/>
            <w:vAlign w:val="center"/>
            <w:hideMark/>
          </w:tcPr>
          <w:p w14:paraId="41CED230" w14:textId="77777777" w:rsidR="00515539" w:rsidRPr="00515539" w:rsidRDefault="00515539" w:rsidP="00515539">
            <w:pPr>
              <w:rPr>
                <w:rFonts w:cs="Arial"/>
                <w:b/>
                <w:bCs/>
                <w:spacing w:val="0"/>
                <w:sz w:val="22"/>
                <w:szCs w:val="22"/>
                <w:lang w:eastAsia="en-GB"/>
              </w:rPr>
            </w:pPr>
            <w:r w:rsidRPr="00515539">
              <w:rPr>
                <w:rFonts w:cs="Arial"/>
                <w:b/>
                <w:bCs/>
                <w:spacing w:val="0"/>
                <w:sz w:val="22"/>
                <w:szCs w:val="22"/>
                <w:lang w:eastAsia="en-GB"/>
              </w:rPr>
              <w:t>£'000</w:t>
            </w:r>
          </w:p>
        </w:tc>
        <w:tc>
          <w:tcPr>
            <w:tcW w:w="1200" w:type="dxa"/>
            <w:tcBorders>
              <w:top w:val="nil"/>
              <w:left w:val="nil"/>
              <w:bottom w:val="single" w:sz="4" w:space="0" w:color="auto"/>
              <w:right w:val="single" w:sz="4" w:space="0" w:color="auto"/>
            </w:tcBorders>
            <w:shd w:val="clear" w:color="000000" w:fill="B3B3B3"/>
            <w:vAlign w:val="center"/>
            <w:hideMark/>
          </w:tcPr>
          <w:p w14:paraId="36624458" w14:textId="77777777" w:rsidR="00515539" w:rsidRPr="00515539" w:rsidRDefault="00515539" w:rsidP="00515539">
            <w:pPr>
              <w:jc w:val="center"/>
              <w:rPr>
                <w:rFonts w:cs="Arial"/>
                <w:b/>
                <w:bCs/>
                <w:spacing w:val="0"/>
                <w:sz w:val="22"/>
                <w:szCs w:val="22"/>
                <w:lang w:eastAsia="en-GB"/>
              </w:rPr>
            </w:pPr>
            <w:r w:rsidRPr="00515539">
              <w:rPr>
                <w:rFonts w:cs="Arial"/>
                <w:b/>
                <w:bCs/>
                <w:spacing w:val="0"/>
                <w:sz w:val="22"/>
                <w:szCs w:val="22"/>
                <w:lang w:eastAsia="en-GB"/>
              </w:rPr>
              <w:t>Actual</w:t>
            </w:r>
          </w:p>
        </w:tc>
        <w:tc>
          <w:tcPr>
            <w:tcW w:w="1300" w:type="dxa"/>
            <w:tcBorders>
              <w:top w:val="nil"/>
              <w:left w:val="nil"/>
              <w:bottom w:val="single" w:sz="4" w:space="0" w:color="auto"/>
              <w:right w:val="single" w:sz="4" w:space="0" w:color="auto"/>
            </w:tcBorders>
            <w:shd w:val="clear" w:color="000000" w:fill="B3B3B3"/>
            <w:vAlign w:val="center"/>
            <w:hideMark/>
          </w:tcPr>
          <w:p w14:paraId="72E4B3B1" w14:textId="77777777" w:rsidR="00515539" w:rsidRPr="00515539" w:rsidRDefault="00515539" w:rsidP="00515539">
            <w:pPr>
              <w:jc w:val="center"/>
              <w:rPr>
                <w:rFonts w:cs="Arial"/>
                <w:b/>
                <w:bCs/>
                <w:spacing w:val="0"/>
                <w:sz w:val="22"/>
                <w:szCs w:val="22"/>
                <w:lang w:eastAsia="en-GB"/>
              </w:rPr>
            </w:pPr>
            <w:r w:rsidRPr="00515539">
              <w:rPr>
                <w:rFonts w:cs="Arial"/>
                <w:b/>
                <w:bCs/>
                <w:spacing w:val="0"/>
                <w:sz w:val="22"/>
                <w:szCs w:val="22"/>
                <w:lang w:eastAsia="en-GB"/>
              </w:rPr>
              <w:t>Estimate</w:t>
            </w:r>
          </w:p>
        </w:tc>
        <w:tc>
          <w:tcPr>
            <w:tcW w:w="1300" w:type="dxa"/>
            <w:tcBorders>
              <w:top w:val="nil"/>
              <w:left w:val="nil"/>
              <w:bottom w:val="single" w:sz="4" w:space="0" w:color="auto"/>
              <w:right w:val="single" w:sz="4" w:space="0" w:color="auto"/>
            </w:tcBorders>
            <w:shd w:val="clear" w:color="000000" w:fill="B3B3B3"/>
            <w:vAlign w:val="center"/>
            <w:hideMark/>
          </w:tcPr>
          <w:p w14:paraId="4ACE7154" w14:textId="77777777" w:rsidR="00515539" w:rsidRPr="00515539" w:rsidRDefault="00515539" w:rsidP="00515539">
            <w:pPr>
              <w:jc w:val="center"/>
              <w:rPr>
                <w:rFonts w:cs="Arial"/>
                <w:b/>
                <w:bCs/>
                <w:spacing w:val="0"/>
                <w:sz w:val="22"/>
                <w:szCs w:val="22"/>
                <w:lang w:eastAsia="en-GB"/>
              </w:rPr>
            </w:pPr>
            <w:r w:rsidRPr="00515539">
              <w:rPr>
                <w:rFonts w:cs="Arial"/>
                <w:b/>
                <w:bCs/>
                <w:spacing w:val="0"/>
                <w:sz w:val="22"/>
                <w:szCs w:val="22"/>
                <w:lang w:eastAsia="en-GB"/>
              </w:rPr>
              <w:t>Estimate</w:t>
            </w:r>
          </w:p>
        </w:tc>
        <w:tc>
          <w:tcPr>
            <w:tcW w:w="1300" w:type="dxa"/>
            <w:tcBorders>
              <w:top w:val="nil"/>
              <w:left w:val="nil"/>
              <w:bottom w:val="single" w:sz="4" w:space="0" w:color="auto"/>
              <w:right w:val="single" w:sz="4" w:space="0" w:color="auto"/>
            </w:tcBorders>
            <w:shd w:val="clear" w:color="000000" w:fill="B3B3B3"/>
            <w:vAlign w:val="center"/>
            <w:hideMark/>
          </w:tcPr>
          <w:p w14:paraId="6CDE903C" w14:textId="77777777" w:rsidR="00515539" w:rsidRPr="00515539" w:rsidRDefault="00515539" w:rsidP="00515539">
            <w:pPr>
              <w:jc w:val="center"/>
              <w:rPr>
                <w:rFonts w:cs="Arial"/>
                <w:b/>
                <w:bCs/>
                <w:spacing w:val="0"/>
                <w:sz w:val="22"/>
                <w:szCs w:val="22"/>
                <w:lang w:eastAsia="en-GB"/>
              </w:rPr>
            </w:pPr>
            <w:r w:rsidRPr="00515539">
              <w:rPr>
                <w:rFonts w:cs="Arial"/>
                <w:b/>
                <w:bCs/>
                <w:spacing w:val="0"/>
                <w:sz w:val="22"/>
                <w:szCs w:val="22"/>
                <w:lang w:eastAsia="en-GB"/>
              </w:rPr>
              <w:t>Estimate</w:t>
            </w:r>
          </w:p>
        </w:tc>
        <w:tc>
          <w:tcPr>
            <w:tcW w:w="1360" w:type="dxa"/>
            <w:tcBorders>
              <w:top w:val="nil"/>
              <w:left w:val="nil"/>
              <w:bottom w:val="single" w:sz="4" w:space="0" w:color="auto"/>
              <w:right w:val="single" w:sz="4" w:space="0" w:color="auto"/>
            </w:tcBorders>
            <w:shd w:val="clear" w:color="000000" w:fill="B3B3B3"/>
            <w:vAlign w:val="center"/>
            <w:hideMark/>
          </w:tcPr>
          <w:p w14:paraId="31503D24" w14:textId="77777777" w:rsidR="00515539" w:rsidRPr="00515539" w:rsidRDefault="00515539" w:rsidP="00515539">
            <w:pPr>
              <w:jc w:val="center"/>
              <w:rPr>
                <w:rFonts w:cs="Arial"/>
                <w:b/>
                <w:bCs/>
                <w:spacing w:val="0"/>
                <w:sz w:val="22"/>
                <w:szCs w:val="22"/>
                <w:lang w:eastAsia="en-GB"/>
              </w:rPr>
            </w:pPr>
            <w:r w:rsidRPr="00515539">
              <w:rPr>
                <w:rFonts w:cs="Arial"/>
                <w:b/>
                <w:bCs/>
                <w:spacing w:val="0"/>
                <w:sz w:val="22"/>
                <w:szCs w:val="22"/>
                <w:lang w:eastAsia="en-GB"/>
              </w:rPr>
              <w:t>Estimate</w:t>
            </w:r>
          </w:p>
        </w:tc>
      </w:tr>
      <w:tr w:rsidR="00515539" w:rsidRPr="00515539" w14:paraId="0EA1B993" w14:textId="77777777" w:rsidTr="00515539">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1D9A7938" w14:textId="77777777" w:rsidR="00515539" w:rsidRPr="00515539" w:rsidRDefault="00515539" w:rsidP="00515539">
            <w:pPr>
              <w:rPr>
                <w:rFonts w:cs="Arial"/>
                <w:b/>
                <w:bCs/>
                <w:spacing w:val="0"/>
                <w:sz w:val="22"/>
                <w:szCs w:val="22"/>
                <w:lang w:eastAsia="en-GB"/>
              </w:rPr>
            </w:pPr>
            <w:r w:rsidRPr="00515539">
              <w:rPr>
                <w:rFonts w:cs="Arial"/>
                <w:b/>
                <w:bCs/>
                <w:spacing w:val="0"/>
                <w:sz w:val="22"/>
                <w:szCs w:val="22"/>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14:paraId="4A2917E9" w14:textId="77777777" w:rsidR="00515539" w:rsidRPr="00515539" w:rsidRDefault="00515539" w:rsidP="00515539">
            <w:pPr>
              <w:jc w:val="right"/>
              <w:rPr>
                <w:rFonts w:cs="Arial"/>
                <w:b/>
                <w:bCs/>
                <w:spacing w:val="0"/>
                <w:sz w:val="22"/>
                <w:szCs w:val="22"/>
                <w:lang w:eastAsia="en-GB"/>
              </w:rPr>
            </w:pPr>
            <w:r w:rsidRPr="00515539">
              <w:rPr>
                <w:rFonts w:cs="Arial"/>
                <w:b/>
                <w:bCs/>
                <w:spacing w:val="0"/>
                <w:sz w:val="22"/>
                <w:szCs w:val="22"/>
                <w:lang w:eastAsia="en-GB"/>
              </w:rPr>
              <w:t>£'000</w:t>
            </w:r>
          </w:p>
        </w:tc>
        <w:tc>
          <w:tcPr>
            <w:tcW w:w="1300" w:type="dxa"/>
            <w:tcBorders>
              <w:top w:val="nil"/>
              <w:left w:val="nil"/>
              <w:bottom w:val="single" w:sz="4" w:space="0" w:color="auto"/>
              <w:right w:val="single" w:sz="4" w:space="0" w:color="auto"/>
            </w:tcBorders>
            <w:shd w:val="clear" w:color="auto" w:fill="auto"/>
            <w:vAlign w:val="center"/>
            <w:hideMark/>
          </w:tcPr>
          <w:p w14:paraId="258712D3" w14:textId="77777777" w:rsidR="00515539" w:rsidRPr="00515539" w:rsidRDefault="00515539" w:rsidP="00515539">
            <w:pPr>
              <w:jc w:val="right"/>
              <w:rPr>
                <w:rFonts w:cs="Arial"/>
                <w:b/>
                <w:bCs/>
                <w:spacing w:val="0"/>
                <w:sz w:val="22"/>
                <w:szCs w:val="22"/>
                <w:lang w:eastAsia="en-GB"/>
              </w:rPr>
            </w:pPr>
            <w:r w:rsidRPr="00515539">
              <w:rPr>
                <w:rFonts w:cs="Arial"/>
                <w:b/>
                <w:bCs/>
                <w:spacing w:val="0"/>
                <w:sz w:val="22"/>
                <w:szCs w:val="22"/>
                <w:lang w:eastAsia="en-GB"/>
              </w:rPr>
              <w:t>£'000</w:t>
            </w:r>
          </w:p>
        </w:tc>
        <w:tc>
          <w:tcPr>
            <w:tcW w:w="1300" w:type="dxa"/>
            <w:tcBorders>
              <w:top w:val="nil"/>
              <w:left w:val="nil"/>
              <w:bottom w:val="single" w:sz="4" w:space="0" w:color="auto"/>
              <w:right w:val="single" w:sz="4" w:space="0" w:color="auto"/>
            </w:tcBorders>
            <w:shd w:val="clear" w:color="auto" w:fill="auto"/>
            <w:vAlign w:val="center"/>
            <w:hideMark/>
          </w:tcPr>
          <w:p w14:paraId="49E9DF93" w14:textId="77777777" w:rsidR="00515539" w:rsidRPr="00515539" w:rsidRDefault="00515539" w:rsidP="00515539">
            <w:pPr>
              <w:jc w:val="right"/>
              <w:rPr>
                <w:rFonts w:cs="Arial"/>
                <w:b/>
                <w:bCs/>
                <w:spacing w:val="0"/>
                <w:sz w:val="22"/>
                <w:szCs w:val="22"/>
                <w:lang w:eastAsia="en-GB"/>
              </w:rPr>
            </w:pPr>
            <w:r w:rsidRPr="00515539">
              <w:rPr>
                <w:rFonts w:cs="Arial"/>
                <w:b/>
                <w:bCs/>
                <w:spacing w:val="0"/>
                <w:sz w:val="22"/>
                <w:szCs w:val="22"/>
                <w:lang w:eastAsia="en-GB"/>
              </w:rPr>
              <w:t>£'000</w:t>
            </w:r>
          </w:p>
        </w:tc>
        <w:tc>
          <w:tcPr>
            <w:tcW w:w="1300" w:type="dxa"/>
            <w:tcBorders>
              <w:top w:val="nil"/>
              <w:left w:val="nil"/>
              <w:bottom w:val="single" w:sz="4" w:space="0" w:color="auto"/>
              <w:right w:val="single" w:sz="4" w:space="0" w:color="auto"/>
            </w:tcBorders>
            <w:shd w:val="clear" w:color="auto" w:fill="auto"/>
            <w:vAlign w:val="center"/>
            <w:hideMark/>
          </w:tcPr>
          <w:p w14:paraId="2C32E9B6" w14:textId="77777777" w:rsidR="00515539" w:rsidRPr="00515539" w:rsidRDefault="00515539" w:rsidP="00515539">
            <w:pPr>
              <w:jc w:val="right"/>
              <w:rPr>
                <w:rFonts w:cs="Arial"/>
                <w:b/>
                <w:bCs/>
                <w:spacing w:val="0"/>
                <w:sz w:val="22"/>
                <w:szCs w:val="22"/>
                <w:lang w:eastAsia="en-GB"/>
              </w:rPr>
            </w:pPr>
            <w:r w:rsidRPr="00515539">
              <w:rPr>
                <w:rFonts w:cs="Arial"/>
                <w:b/>
                <w:bCs/>
                <w:spacing w:val="0"/>
                <w:sz w:val="22"/>
                <w:szCs w:val="22"/>
                <w:lang w:eastAsia="en-GB"/>
              </w:rPr>
              <w:t>£'000</w:t>
            </w:r>
          </w:p>
        </w:tc>
        <w:tc>
          <w:tcPr>
            <w:tcW w:w="1360" w:type="dxa"/>
            <w:tcBorders>
              <w:top w:val="nil"/>
              <w:left w:val="nil"/>
              <w:bottom w:val="single" w:sz="4" w:space="0" w:color="auto"/>
              <w:right w:val="single" w:sz="4" w:space="0" w:color="auto"/>
            </w:tcBorders>
            <w:shd w:val="clear" w:color="auto" w:fill="auto"/>
            <w:vAlign w:val="center"/>
            <w:hideMark/>
          </w:tcPr>
          <w:p w14:paraId="383CC6C1" w14:textId="77777777" w:rsidR="00515539" w:rsidRPr="00515539" w:rsidRDefault="00515539" w:rsidP="00515539">
            <w:pPr>
              <w:jc w:val="right"/>
              <w:rPr>
                <w:rFonts w:cs="Arial"/>
                <w:b/>
                <w:bCs/>
                <w:spacing w:val="0"/>
                <w:sz w:val="22"/>
                <w:szCs w:val="22"/>
                <w:lang w:eastAsia="en-GB"/>
              </w:rPr>
            </w:pPr>
            <w:r w:rsidRPr="00515539">
              <w:rPr>
                <w:rFonts w:cs="Arial"/>
                <w:b/>
                <w:bCs/>
                <w:spacing w:val="0"/>
                <w:sz w:val="22"/>
                <w:szCs w:val="22"/>
                <w:lang w:eastAsia="en-GB"/>
              </w:rPr>
              <w:t>£'000</w:t>
            </w:r>
          </w:p>
        </w:tc>
      </w:tr>
      <w:tr w:rsidR="00515539" w:rsidRPr="00515539" w14:paraId="7F56C585" w14:textId="77777777" w:rsidTr="00515539">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6D58FF9C" w14:textId="77777777" w:rsidR="00515539" w:rsidRPr="00515539" w:rsidRDefault="00515539" w:rsidP="00515539">
            <w:pPr>
              <w:rPr>
                <w:rFonts w:cs="Arial"/>
                <w:spacing w:val="0"/>
                <w:sz w:val="22"/>
                <w:szCs w:val="22"/>
                <w:lang w:eastAsia="en-GB"/>
              </w:rPr>
            </w:pPr>
            <w:r w:rsidRPr="00515539">
              <w:rPr>
                <w:rFonts w:cs="Arial"/>
                <w:spacing w:val="0"/>
                <w:sz w:val="22"/>
                <w:szCs w:val="22"/>
                <w:lang w:eastAsia="en-GB"/>
              </w:rPr>
              <w:t>Fund balances / reserves</w:t>
            </w:r>
          </w:p>
        </w:tc>
        <w:tc>
          <w:tcPr>
            <w:tcW w:w="1200" w:type="dxa"/>
            <w:tcBorders>
              <w:top w:val="nil"/>
              <w:left w:val="nil"/>
              <w:bottom w:val="single" w:sz="4" w:space="0" w:color="auto"/>
              <w:right w:val="single" w:sz="4" w:space="0" w:color="auto"/>
            </w:tcBorders>
            <w:shd w:val="clear" w:color="auto" w:fill="auto"/>
            <w:vAlign w:val="center"/>
            <w:hideMark/>
          </w:tcPr>
          <w:p w14:paraId="0A530141"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2,853</w:t>
            </w:r>
          </w:p>
        </w:tc>
        <w:tc>
          <w:tcPr>
            <w:tcW w:w="1300" w:type="dxa"/>
            <w:tcBorders>
              <w:top w:val="nil"/>
              <w:left w:val="nil"/>
              <w:bottom w:val="single" w:sz="4" w:space="0" w:color="auto"/>
              <w:right w:val="single" w:sz="4" w:space="0" w:color="auto"/>
            </w:tcBorders>
            <w:shd w:val="clear" w:color="auto" w:fill="auto"/>
            <w:vAlign w:val="center"/>
            <w:hideMark/>
          </w:tcPr>
          <w:p w14:paraId="2D63DE93"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3,096</w:t>
            </w:r>
          </w:p>
        </w:tc>
        <w:tc>
          <w:tcPr>
            <w:tcW w:w="1300" w:type="dxa"/>
            <w:tcBorders>
              <w:top w:val="nil"/>
              <w:left w:val="nil"/>
              <w:bottom w:val="single" w:sz="4" w:space="0" w:color="auto"/>
              <w:right w:val="single" w:sz="4" w:space="0" w:color="auto"/>
            </w:tcBorders>
            <w:shd w:val="clear" w:color="auto" w:fill="auto"/>
            <w:vAlign w:val="center"/>
            <w:hideMark/>
          </w:tcPr>
          <w:p w14:paraId="6B5E7D93"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3,096</w:t>
            </w:r>
          </w:p>
        </w:tc>
        <w:tc>
          <w:tcPr>
            <w:tcW w:w="1300" w:type="dxa"/>
            <w:tcBorders>
              <w:top w:val="nil"/>
              <w:left w:val="nil"/>
              <w:bottom w:val="single" w:sz="4" w:space="0" w:color="auto"/>
              <w:right w:val="single" w:sz="4" w:space="0" w:color="auto"/>
            </w:tcBorders>
            <w:shd w:val="clear" w:color="auto" w:fill="auto"/>
            <w:vAlign w:val="center"/>
            <w:hideMark/>
          </w:tcPr>
          <w:p w14:paraId="230457E1"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3,096</w:t>
            </w:r>
          </w:p>
        </w:tc>
        <w:tc>
          <w:tcPr>
            <w:tcW w:w="1360" w:type="dxa"/>
            <w:tcBorders>
              <w:top w:val="nil"/>
              <w:left w:val="nil"/>
              <w:bottom w:val="single" w:sz="4" w:space="0" w:color="auto"/>
              <w:right w:val="single" w:sz="4" w:space="0" w:color="auto"/>
            </w:tcBorders>
            <w:shd w:val="clear" w:color="auto" w:fill="auto"/>
            <w:vAlign w:val="center"/>
            <w:hideMark/>
          </w:tcPr>
          <w:p w14:paraId="78AC26BB"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3,096</w:t>
            </w:r>
          </w:p>
        </w:tc>
      </w:tr>
      <w:tr w:rsidR="00515539" w:rsidRPr="00515539" w14:paraId="5F7BEC40" w14:textId="77777777" w:rsidTr="00515539">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3EE48D9B" w14:textId="77777777" w:rsidR="00515539" w:rsidRPr="00515539" w:rsidRDefault="00515539" w:rsidP="00515539">
            <w:pPr>
              <w:rPr>
                <w:rFonts w:cs="Arial"/>
                <w:spacing w:val="0"/>
                <w:sz w:val="22"/>
                <w:szCs w:val="22"/>
                <w:lang w:eastAsia="en-GB"/>
              </w:rPr>
            </w:pPr>
            <w:r w:rsidRPr="00515539">
              <w:rPr>
                <w:rFonts w:cs="Arial"/>
                <w:spacing w:val="0"/>
                <w:sz w:val="22"/>
                <w:szCs w:val="22"/>
                <w:lang w:eastAsia="en-GB"/>
              </w:rPr>
              <w:t>Capital receipts</w:t>
            </w:r>
          </w:p>
        </w:tc>
        <w:tc>
          <w:tcPr>
            <w:tcW w:w="1200" w:type="dxa"/>
            <w:tcBorders>
              <w:top w:val="nil"/>
              <w:left w:val="nil"/>
              <w:bottom w:val="single" w:sz="4" w:space="0" w:color="auto"/>
              <w:right w:val="single" w:sz="4" w:space="0" w:color="auto"/>
            </w:tcBorders>
            <w:shd w:val="clear" w:color="auto" w:fill="auto"/>
            <w:vAlign w:val="center"/>
            <w:hideMark/>
          </w:tcPr>
          <w:p w14:paraId="61194AC0"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3,821</w:t>
            </w:r>
          </w:p>
        </w:tc>
        <w:tc>
          <w:tcPr>
            <w:tcW w:w="1300" w:type="dxa"/>
            <w:tcBorders>
              <w:top w:val="nil"/>
              <w:left w:val="nil"/>
              <w:bottom w:val="single" w:sz="4" w:space="0" w:color="auto"/>
              <w:right w:val="single" w:sz="4" w:space="0" w:color="auto"/>
            </w:tcBorders>
            <w:shd w:val="clear" w:color="auto" w:fill="auto"/>
            <w:vAlign w:val="center"/>
            <w:hideMark/>
          </w:tcPr>
          <w:p w14:paraId="2255809E"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3,480</w:t>
            </w:r>
          </w:p>
        </w:tc>
        <w:tc>
          <w:tcPr>
            <w:tcW w:w="1300" w:type="dxa"/>
            <w:tcBorders>
              <w:top w:val="nil"/>
              <w:left w:val="nil"/>
              <w:bottom w:val="single" w:sz="4" w:space="0" w:color="auto"/>
              <w:right w:val="single" w:sz="4" w:space="0" w:color="auto"/>
            </w:tcBorders>
            <w:shd w:val="clear" w:color="auto" w:fill="auto"/>
            <w:vAlign w:val="center"/>
            <w:hideMark/>
          </w:tcPr>
          <w:p w14:paraId="4533F135"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3,132</w:t>
            </w:r>
          </w:p>
        </w:tc>
        <w:tc>
          <w:tcPr>
            <w:tcW w:w="1300" w:type="dxa"/>
            <w:tcBorders>
              <w:top w:val="nil"/>
              <w:left w:val="nil"/>
              <w:bottom w:val="single" w:sz="4" w:space="0" w:color="auto"/>
              <w:right w:val="single" w:sz="4" w:space="0" w:color="auto"/>
            </w:tcBorders>
            <w:shd w:val="clear" w:color="auto" w:fill="auto"/>
            <w:vAlign w:val="center"/>
            <w:hideMark/>
          </w:tcPr>
          <w:p w14:paraId="74B966DA"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3,132</w:t>
            </w:r>
          </w:p>
        </w:tc>
        <w:tc>
          <w:tcPr>
            <w:tcW w:w="1360" w:type="dxa"/>
            <w:tcBorders>
              <w:top w:val="nil"/>
              <w:left w:val="nil"/>
              <w:bottom w:val="single" w:sz="4" w:space="0" w:color="auto"/>
              <w:right w:val="single" w:sz="4" w:space="0" w:color="auto"/>
            </w:tcBorders>
            <w:shd w:val="clear" w:color="auto" w:fill="auto"/>
            <w:vAlign w:val="center"/>
            <w:hideMark/>
          </w:tcPr>
          <w:p w14:paraId="07ABA8EB"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3,132</w:t>
            </w:r>
          </w:p>
        </w:tc>
      </w:tr>
      <w:tr w:rsidR="00515539" w:rsidRPr="00515539" w14:paraId="4F289EF9" w14:textId="77777777" w:rsidTr="00515539">
        <w:trPr>
          <w:trHeight w:val="570"/>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30234BE3" w14:textId="77777777" w:rsidR="00515539" w:rsidRPr="00515539" w:rsidRDefault="00515539" w:rsidP="00515539">
            <w:pPr>
              <w:rPr>
                <w:rFonts w:cs="Arial"/>
                <w:spacing w:val="0"/>
                <w:sz w:val="22"/>
                <w:szCs w:val="22"/>
                <w:lang w:eastAsia="en-GB"/>
              </w:rPr>
            </w:pPr>
            <w:r w:rsidRPr="00515539">
              <w:rPr>
                <w:rFonts w:cs="Arial"/>
                <w:spacing w:val="0"/>
                <w:sz w:val="22"/>
                <w:szCs w:val="22"/>
                <w:lang w:eastAsia="en-GB"/>
              </w:rPr>
              <w:t>Earmarked revenue reserves</w:t>
            </w:r>
          </w:p>
        </w:tc>
        <w:tc>
          <w:tcPr>
            <w:tcW w:w="1200" w:type="dxa"/>
            <w:tcBorders>
              <w:top w:val="nil"/>
              <w:left w:val="nil"/>
              <w:bottom w:val="single" w:sz="4" w:space="0" w:color="auto"/>
              <w:right w:val="single" w:sz="4" w:space="0" w:color="auto"/>
            </w:tcBorders>
            <w:shd w:val="clear" w:color="auto" w:fill="auto"/>
            <w:vAlign w:val="center"/>
            <w:hideMark/>
          </w:tcPr>
          <w:p w14:paraId="552307E0"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23,255</w:t>
            </w:r>
          </w:p>
        </w:tc>
        <w:tc>
          <w:tcPr>
            <w:tcW w:w="1300" w:type="dxa"/>
            <w:tcBorders>
              <w:top w:val="nil"/>
              <w:left w:val="nil"/>
              <w:bottom w:val="single" w:sz="4" w:space="0" w:color="auto"/>
              <w:right w:val="single" w:sz="4" w:space="0" w:color="auto"/>
            </w:tcBorders>
            <w:shd w:val="clear" w:color="auto" w:fill="auto"/>
            <w:vAlign w:val="center"/>
            <w:hideMark/>
          </w:tcPr>
          <w:p w14:paraId="3BF1EFFF"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12,652</w:t>
            </w:r>
          </w:p>
        </w:tc>
        <w:tc>
          <w:tcPr>
            <w:tcW w:w="1300" w:type="dxa"/>
            <w:tcBorders>
              <w:top w:val="nil"/>
              <w:left w:val="nil"/>
              <w:bottom w:val="single" w:sz="4" w:space="0" w:color="auto"/>
              <w:right w:val="single" w:sz="4" w:space="0" w:color="auto"/>
            </w:tcBorders>
            <w:shd w:val="clear" w:color="auto" w:fill="auto"/>
            <w:vAlign w:val="center"/>
            <w:hideMark/>
          </w:tcPr>
          <w:p w14:paraId="4B90D863"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12,652</w:t>
            </w:r>
          </w:p>
        </w:tc>
        <w:tc>
          <w:tcPr>
            <w:tcW w:w="1300" w:type="dxa"/>
            <w:tcBorders>
              <w:top w:val="nil"/>
              <w:left w:val="nil"/>
              <w:bottom w:val="single" w:sz="4" w:space="0" w:color="auto"/>
              <w:right w:val="single" w:sz="4" w:space="0" w:color="auto"/>
            </w:tcBorders>
            <w:shd w:val="clear" w:color="auto" w:fill="auto"/>
            <w:vAlign w:val="center"/>
            <w:hideMark/>
          </w:tcPr>
          <w:p w14:paraId="0ECA2423"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12,652</w:t>
            </w:r>
          </w:p>
        </w:tc>
        <w:tc>
          <w:tcPr>
            <w:tcW w:w="1360" w:type="dxa"/>
            <w:tcBorders>
              <w:top w:val="nil"/>
              <w:left w:val="nil"/>
              <w:bottom w:val="single" w:sz="4" w:space="0" w:color="auto"/>
              <w:right w:val="single" w:sz="4" w:space="0" w:color="auto"/>
            </w:tcBorders>
            <w:shd w:val="clear" w:color="auto" w:fill="auto"/>
            <w:vAlign w:val="center"/>
            <w:hideMark/>
          </w:tcPr>
          <w:p w14:paraId="7BD901D7"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12,652</w:t>
            </w:r>
          </w:p>
        </w:tc>
      </w:tr>
      <w:tr w:rsidR="00515539" w:rsidRPr="00515539" w14:paraId="030A4140" w14:textId="77777777" w:rsidTr="00515539">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646798B0" w14:textId="77777777" w:rsidR="00515539" w:rsidRPr="00515539" w:rsidRDefault="00515539" w:rsidP="00515539">
            <w:pPr>
              <w:rPr>
                <w:rFonts w:cs="Arial"/>
                <w:spacing w:val="0"/>
                <w:sz w:val="22"/>
                <w:szCs w:val="22"/>
                <w:lang w:eastAsia="en-GB"/>
              </w:rPr>
            </w:pPr>
            <w:r w:rsidRPr="00515539">
              <w:rPr>
                <w:rFonts w:cs="Arial"/>
                <w:spacing w:val="0"/>
                <w:sz w:val="22"/>
                <w:szCs w:val="22"/>
                <w:lang w:eastAsia="en-GB"/>
              </w:rPr>
              <w:t>CIL</w:t>
            </w:r>
          </w:p>
        </w:tc>
        <w:tc>
          <w:tcPr>
            <w:tcW w:w="1200" w:type="dxa"/>
            <w:tcBorders>
              <w:top w:val="nil"/>
              <w:left w:val="nil"/>
              <w:bottom w:val="single" w:sz="4" w:space="0" w:color="auto"/>
              <w:right w:val="single" w:sz="4" w:space="0" w:color="auto"/>
            </w:tcBorders>
            <w:shd w:val="clear" w:color="auto" w:fill="auto"/>
            <w:vAlign w:val="center"/>
            <w:hideMark/>
          </w:tcPr>
          <w:p w14:paraId="755976CB"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9,320</w:t>
            </w:r>
          </w:p>
        </w:tc>
        <w:tc>
          <w:tcPr>
            <w:tcW w:w="1300" w:type="dxa"/>
            <w:tcBorders>
              <w:top w:val="nil"/>
              <w:left w:val="nil"/>
              <w:bottom w:val="single" w:sz="4" w:space="0" w:color="auto"/>
              <w:right w:val="single" w:sz="4" w:space="0" w:color="auto"/>
            </w:tcBorders>
            <w:shd w:val="clear" w:color="auto" w:fill="auto"/>
            <w:vAlign w:val="center"/>
            <w:hideMark/>
          </w:tcPr>
          <w:p w14:paraId="042F484E"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8,075</w:t>
            </w:r>
          </w:p>
        </w:tc>
        <w:tc>
          <w:tcPr>
            <w:tcW w:w="1300" w:type="dxa"/>
            <w:tcBorders>
              <w:top w:val="nil"/>
              <w:left w:val="nil"/>
              <w:bottom w:val="single" w:sz="4" w:space="0" w:color="auto"/>
              <w:right w:val="single" w:sz="4" w:space="0" w:color="auto"/>
            </w:tcBorders>
            <w:shd w:val="clear" w:color="auto" w:fill="auto"/>
            <w:vAlign w:val="center"/>
            <w:hideMark/>
          </w:tcPr>
          <w:p w14:paraId="24F583DF"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9,375</w:t>
            </w:r>
          </w:p>
        </w:tc>
        <w:tc>
          <w:tcPr>
            <w:tcW w:w="1300" w:type="dxa"/>
            <w:tcBorders>
              <w:top w:val="nil"/>
              <w:left w:val="nil"/>
              <w:bottom w:val="single" w:sz="4" w:space="0" w:color="auto"/>
              <w:right w:val="single" w:sz="4" w:space="0" w:color="auto"/>
            </w:tcBorders>
            <w:shd w:val="clear" w:color="auto" w:fill="auto"/>
            <w:vAlign w:val="center"/>
            <w:hideMark/>
          </w:tcPr>
          <w:p w14:paraId="79D0C9F1"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10,675</w:t>
            </w:r>
          </w:p>
        </w:tc>
        <w:tc>
          <w:tcPr>
            <w:tcW w:w="1360" w:type="dxa"/>
            <w:tcBorders>
              <w:top w:val="nil"/>
              <w:left w:val="nil"/>
              <w:bottom w:val="single" w:sz="4" w:space="0" w:color="auto"/>
              <w:right w:val="single" w:sz="4" w:space="0" w:color="auto"/>
            </w:tcBorders>
            <w:shd w:val="clear" w:color="auto" w:fill="auto"/>
            <w:vAlign w:val="center"/>
            <w:hideMark/>
          </w:tcPr>
          <w:p w14:paraId="59E00AC6"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11,975</w:t>
            </w:r>
          </w:p>
        </w:tc>
      </w:tr>
      <w:tr w:rsidR="00515539" w:rsidRPr="00515539" w14:paraId="4F3F2BB4" w14:textId="77777777" w:rsidTr="00515539">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3B75D645" w14:textId="77777777" w:rsidR="00515539" w:rsidRPr="00515539" w:rsidRDefault="00515539" w:rsidP="00515539">
            <w:pPr>
              <w:rPr>
                <w:rFonts w:cs="Arial"/>
                <w:spacing w:val="0"/>
                <w:sz w:val="22"/>
                <w:szCs w:val="22"/>
                <w:lang w:eastAsia="en-GB"/>
              </w:rPr>
            </w:pPr>
            <w:r w:rsidRPr="00515539">
              <w:rPr>
                <w:rFonts w:cs="Arial"/>
                <w:spacing w:val="0"/>
                <w:sz w:val="22"/>
                <w:szCs w:val="22"/>
                <w:lang w:eastAsia="en-GB"/>
              </w:rPr>
              <w:t>S106 funds</w:t>
            </w:r>
          </w:p>
        </w:tc>
        <w:tc>
          <w:tcPr>
            <w:tcW w:w="1200" w:type="dxa"/>
            <w:tcBorders>
              <w:top w:val="nil"/>
              <w:left w:val="nil"/>
              <w:bottom w:val="single" w:sz="4" w:space="0" w:color="auto"/>
              <w:right w:val="single" w:sz="4" w:space="0" w:color="auto"/>
            </w:tcBorders>
            <w:shd w:val="clear" w:color="auto" w:fill="auto"/>
            <w:vAlign w:val="center"/>
            <w:hideMark/>
          </w:tcPr>
          <w:p w14:paraId="32A9DA61"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2,311</w:t>
            </w:r>
          </w:p>
        </w:tc>
        <w:tc>
          <w:tcPr>
            <w:tcW w:w="1300" w:type="dxa"/>
            <w:tcBorders>
              <w:top w:val="nil"/>
              <w:left w:val="nil"/>
              <w:bottom w:val="single" w:sz="4" w:space="0" w:color="auto"/>
              <w:right w:val="single" w:sz="4" w:space="0" w:color="auto"/>
            </w:tcBorders>
            <w:shd w:val="clear" w:color="auto" w:fill="auto"/>
            <w:vAlign w:val="center"/>
            <w:hideMark/>
          </w:tcPr>
          <w:p w14:paraId="392B8664"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1,594</w:t>
            </w:r>
          </w:p>
        </w:tc>
        <w:tc>
          <w:tcPr>
            <w:tcW w:w="1300" w:type="dxa"/>
            <w:tcBorders>
              <w:top w:val="nil"/>
              <w:left w:val="nil"/>
              <w:bottom w:val="single" w:sz="4" w:space="0" w:color="auto"/>
              <w:right w:val="single" w:sz="4" w:space="0" w:color="auto"/>
            </w:tcBorders>
            <w:shd w:val="clear" w:color="auto" w:fill="auto"/>
            <w:vAlign w:val="center"/>
            <w:hideMark/>
          </w:tcPr>
          <w:p w14:paraId="55CF8B49"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1,594</w:t>
            </w:r>
          </w:p>
        </w:tc>
        <w:tc>
          <w:tcPr>
            <w:tcW w:w="1300" w:type="dxa"/>
            <w:tcBorders>
              <w:top w:val="nil"/>
              <w:left w:val="nil"/>
              <w:bottom w:val="single" w:sz="4" w:space="0" w:color="auto"/>
              <w:right w:val="single" w:sz="4" w:space="0" w:color="auto"/>
            </w:tcBorders>
            <w:shd w:val="clear" w:color="auto" w:fill="auto"/>
            <w:vAlign w:val="center"/>
            <w:hideMark/>
          </w:tcPr>
          <w:p w14:paraId="161F4B03"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1,594</w:t>
            </w:r>
          </w:p>
        </w:tc>
        <w:tc>
          <w:tcPr>
            <w:tcW w:w="1360" w:type="dxa"/>
            <w:tcBorders>
              <w:top w:val="nil"/>
              <w:left w:val="nil"/>
              <w:bottom w:val="single" w:sz="4" w:space="0" w:color="auto"/>
              <w:right w:val="single" w:sz="4" w:space="0" w:color="auto"/>
            </w:tcBorders>
            <w:shd w:val="clear" w:color="auto" w:fill="auto"/>
            <w:vAlign w:val="center"/>
            <w:hideMark/>
          </w:tcPr>
          <w:p w14:paraId="498D5D40"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1,594</w:t>
            </w:r>
          </w:p>
        </w:tc>
      </w:tr>
      <w:tr w:rsidR="00515539" w:rsidRPr="00515539" w14:paraId="4BCB590E" w14:textId="77777777" w:rsidTr="00515539">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457C6EDC" w14:textId="77777777" w:rsidR="00515539" w:rsidRPr="00515539" w:rsidRDefault="00515539" w:rsidP="00515539">
            <w:pPr>
              <w:rPr>
                <w:rFonts w:cs="Arial"/>
                <w:b/>
                <w:bCs/>
                <w:spacing w:val="0"/>
                <w:sz w:val="22"/>
                <w:szCs w:val="22"/>
                <w:lang w:eastAsia="en-GB"/>
              </w:rPr>
            </w:pPr>
            <w:r w:rsidRPr="00515539">
              <w:rPr>
                <w:rFonts w:cs="Arial"/>
                <w:b/>
                <w:bCs/>
                <w:spacing w:val="0"/>
                <w:sz w:val="22"/>
                <w:szCs w:val="22"/>
                <w:lang w:eastAsia="en-GB"/>
              </w:rPr>
              <w:t>Total core funds</w:t>
            </w:r>
          </w:p>
        </w:tc>
        <w:tc>
          <w:tcPr>
            <w:tcW w:w="1200" w:type="dxa"/>
            <w:tcBorders>
              <w:top w:val="nil"/>
              <w:left w:val="nil"/>
              <w:bottom w:val="single" w:sz="4" w:space="0" w:color="auto"/>
              <w:right w:val="single" w:sz="4" w:space="0" w:color="auto"/>
            </w:tcBorders>
            <w:shd w:val="clear" w:color="auto" w:fill="auto"/>
            <w:vAlign w:val="center"/>
            <w:hideMark/>
          </w:tcPr>
          <w:p w14:paraId="51B5B8ED" w14:textId="77777777" w:rsidR="00515539" w:rsidRPr="00515539" w:rsidRDefault="00515539" w:rsidP="00515539">
            <w:pPr>
              <w:jc w:val="right"/>
              <w:rPr>
                <w:rFonts w:cs="Arial"/>
                <w:b/>
                <w:bCs/>
                <w:spacing w:val="0"/>
                <w:sz w:val="22"/>
                <w:szCs w:val="22"/>
                <w:lang w:eastAsia="en-GB"/>
              </w:rPr>
            </w:pPr>
            <w:r w:rsidRPr="00515539">
              <w:rPr>
                <w:rFonts w:cs="Arial"/>
                <w:b/>
                <w:bCs/>
                <w:spacing w:val="0"/>
                <w:sz w:val="22"/>
                <w:szCs w:val="22"/>
                <w:lang w:eastAsia="en-GB"/>
              </w:rPr>
              <w:t>41,560</w:t>
            </w:r>
          </w:p>
        </w:tc>
        <w:tc>
          <w:tcPr>
            <w:tcW w:w="1300" w:type="dxa"/>
            <w:tcBorders>
              <w:top w:val="nil"/>
              <w:left w:val="nil"/>
              <w:bottom w:val="single" w:sz="4" w:space="0" w:color="auto"/>
              <w:right w:val="single" w:sz="4" w:space="0" w:color="auto"/>
            </w:tcBorders>
            <w:shd w:val="clear" w:color="auto" w:fill="auto"/>
            <w:vAlign w:val="center"/>
            <w:hideMark/>
          </w:tcPr>
          <w:p w14:paraId="43842F1E" w14:textId="77777777" w:rsidR="00515539" w:rsidRPr="00515539" w:rsidRDefault="00515539" w:rsidP="00515539">
            <w:pPr>
              <w:jc w:val="right"/>
              <w:rPr>
                <w:rFonts w:cs="Arial"/>
                <w:b/>
                <w:bCs/>
                <w:spacing w:val="0"/>
                <w:sz w:val="22"/>
                <w:szCs w:val="22"/>
                <w:lang w:eastAsia="en-GB"/>
              </w:rPr>
            </w:pPr>
            <w:r w:rsidRPr="00515539">
              <w:rPr>
                <w:rFonts w:cs="Arial"/>
                <w:b/>
                <w:bCs/>
                <w:spacing w:val="0"/>
                <w:sz w:val="22"/>
                <w:szCs w:val="22"/>
                <w:lang w:eastAsia="en-GB"/>
              </w:rPr>
              <w:t>28,897</w:t>
            </w:r>
          </w:p>
        </w:tc>
        <w:tc>
          <w:tcPr>
            <w:tcW w:w="1300" w:type="dxa"/>
            <w:tcBorders>
              <w:top w:val="nil"/>
              <w:left w:val="nil"/>
              <w:bottom w:val="single" w:sz="4" w:space="0" w:color="auto"/>
              <w:right w:val="single" w:sz="4" w:space="0" w:color="auto"/>
            </w:tcBorders>
            <w:shd w:val="clear" w:color="auto" w:fill="auto"/>
            <w:vAlign w:val="center"/>
            <w:hideMark/>
          </w:tcPr>
          <w:p w14:paraId="411075A1" w14:textId="77777777" w:rsidR="00515539" w:rsidRPr="00515539" w:rsidRDefault="00515539" w:rsidP="00515539">
            <w:pPr>
              <w:jc w:val="right"/>
              <w:rPr>
                <w:rFonts w:cs="Arial"/>
                <w:b/>
                <w:bCs/>
                <w:spacing w:val="0"/>
                <w:sz w:val="22"/>
                <w:szCs w:val="22"/>
                <w:lang w:eastAsia="en-GB"/>
              </w:rPr>
            </w:pPr>
            <w:r w:rsidRPr="00515539">
              <w:rPr>
                <w:rFonts w:cs="Arial"/>
                <w:b/>
                <w:bCs/>
                <w:spacing w:val="0"/>
                <w:sz w:val="22"/>
                <w:szCs w:val="22"/>
                <w:lang w:eastAsia="en-GB"/>
              </w:rPr>
              <w:t>29,849</w:t>
            </w:r>
          </w:p>
        </w:tc>
        <w:tc>
          <w:tcPr>
            <w:tcW w:w="1300" w:type="dxa"/>
            <w:tcBorders>
              <w:top w:val="nil"/>
              <w:left w:val="nil"/>
              <w:bottom w:val="single" w:sz="4" w:space="0" w:color="auto"/>
              <w:right w:val="single" w:sz="4" w:space="0" w:color="auto"/>
            </w:tcBorders>
            <w:shd w:val="clear" w:color="auto" w:fill="auto"/>
            <w:vAlign w:val="center"/>
            <w:hideMark/>
          </w:tcPr>
          <w:p w14:paraId="2F7D7243" w14:textId="77777777" w:rsidR="00515539" w:rsidRPr="00515539" w:rsidRDefault="00515539" w:rsidP="00515539">
            <w:pPr>
              <w:jc w:val="right"/>
              <w:rPr>
                <w:rFonts w:cs="Arial"/>
                <w:b/>
                <w:bCs/>
                <w:spacing w:val="0"/>
                <w:sz w:val="22"/>
                <w:szCs w:val="22"/>
                <w:lang w:eastAsia="en-GB"/>
              </w:rPr>
            </w:pPr>
            <w:r w:rsidRPr="00515539">
              <w:rPr>
                <w:rFonts w:cs="Arial"/>
                <w:b/>
                <w:bCs/>
                <w:spacing w:val="0"/>
                <w:sz w:val="22"/>
                <w:szCs w:val="22"/>
                <w:lang w:eastAsia="en-GB"/>
              </w:rPr>
              <w:t>31,149</w:t>
            </w:r>
          </w:p>
        </w:tc>
        <w:tc>
          <w:tcPr>
            <w:tcW w:w="1360" w:type="dxa"/>
            <w:tcBorders>
              <w:top w:val="nil"/>
              <w:left w:val="nil"/>
              <w:bottom w:val="single" w:sz="4" w:space="0" w:color="auto"/>
              <w:right w:val="single" w:sz="4" w:space="0" w:color="auto"/>
            </w:tcBorders>
            <w:shd w:val="clear" w:color="auto" w:fill="auto"/>
            <w:vAlign w:val="center"/>
            <w:hideMark/>
          </w:tcPr>
          <w:p w14:paraId="7A9546D5" w14:textId="77777777" w:rsidR="00515539" w:rsidRPr="00515539" w:rsidRDefault="00515539" w:rsidP="00515539">
            <w:pPr>
              <w:jc w:val="right"/>
              <w:rPr>
                <w:rFonts w:cs="Arial"/>
                <w:b/>
                <w:bCs/>
                <w:spacing w:val="0"/>
                <w:sz w:val="22"/>
                <w:szCs w:val="22"/>
                <w:lang w:eastAsia="en-GB"/>
              </w:rPr>
            </w:pPr>
            <w:r w:rsidRPr="00515539">
              <w:rPr>
                <w:rFonts w:cs="Arial"/>
                <w:b/>
                <w:bCs/>
                <w:spacing w:val="0"/>
                <w:sz w:val="22"/>
                <w:szCs w:val="22"/>
                <w:lang w:eastAsia="en-GB"/>
              </w:rPr>
              <w:t>32,449</w:t>
            </w:r>
          </w:p>
        </w:tc>
      </w:tr>
      <w:tr w:rsidR="00515539" w:rsidRPr="00515539" w14:paraId="6C55C72A" w14:textId="77777777" w:rsidTr="00515539">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53245BB5" w14:textId="77777777" w:rsidR="00515539" w:rsidRPr="00515539" w:rsidRDefault="00515539" w:rsidP="00515539">
            <w:pPr>
              <w:rPr>
                <w:rFonts w:cs="Arial"/>
                <w:spacing w:val="0"/>
                <w:sz w:val="22"/>
                <w:szCs w:val="22"/>
                <w:lang w:eastAsia="en-GB"/>
              </w:rPr>
            </w:pPr>
            <w:r w:rsidRPr="00515539">
              <w:rPr>
                <w:rFonts w:cs="Arial"/>
                <w:spacing w:val="0"/>
                <w:sz w:val="22"/>
                <w:szCs w:val="22"/>
                <w:lang w:eastAsia="en-GB"/>
              </w:rPr>
              <w:t>Working capital*</w:t>
            </w:r>
          </w:p>
        </w:tc>
        <w:tc>
          <w:tcPr>
            <w:tcW w:w="1200" w:type="dxa"/>
            <w:tcBorders>
              <w:top w:val="nil"/>
              <w:left w:val="nil"/>
              <w:bottom w:val="single" w:sz="4" w:space="0" w:color="auto"/>
              <w:right w:val="single" w:sz="4" w:space="0" w:color="auto"/>
            </w:tcBorders>
            <w:shd w:val="clear" w:color="auto" w:fill="auto"/>
            <w:vAlign w:val="center"/>
            <w:hideMark/>
          </w:tcPr>
          <w:p w14:paraId="34DEFEA1"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7,000</w:t>
            </w:r>
          </w:p>
        </w:tc>
        <w:tc>
          <w:tcPr>
            <w:tcW w:w="1300" w:type="dxa"/>
            <w:tcBorders>
              <w:top w:val="nil"/>
              <w:left w:val="nil"/>
              <w:bottom w:val="single" w:sz="4" w:space="0" w:color="auto"/>
              <w:right w:val="single" w:sz="4" w:space="0" w:color="auto"/>
            </w:tcBorders>
            <w:shd w:val="clear" w:color="auto" w:fill="auto"/>
            <w:vAlign w:val="center"/>
            <w:hideMark/>
          </w:tcPr>
          <w:p w14:paraId="69DB3217"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7,000</w:t>
            </w:r>
          </w:p>
        </w:tc>
        <w:tc>
          <w:tcPr>
            <w:tcW w:w="1300" w:type="dxa"/>
            <w:tcBorders>
              <w:top w:val="nil"/>
              <w:left w:val="nil"/>
              <w:bottom w:val="single" w:sz="4" w:space="0" w:color="auto"/>
              <w:right w:val="single" w:sz="4" w:space="0" w:color="auto"/>
            </w:tcBorders>
            <w:shd w:val="clear" w:color="auto" w:fill="auto"/>
            <w:vAlign w:val="center"/>
            <w:hideMark/>
          </w:tcPr>
          <w:p w14:paraId="191D80C3"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7,000</w:t>
            </w:r>
          </w:p>
        </w:tc>
        <w:tc>
          <w:tcPr>
            <w:tcW w:w="1300" w:type="dxa"/>
            <w:tcBorders>
              <w:top w:val="nil"/>
              <w:left w:val="nil"/>
              <w:bottom w:val="single" w:sz="4" w:space="0" w:color="auto"/>
              <w:right w:val="single" w:sz="4" w:space="0" w:color="auto"/>
            </w:tcBorders>
            <w:shd w:val="clear" w:color="auto" w:fill="auto"/>
            <w:vAlign w:val="center"/>
            <w:hideMark/>
          </w:tcPr>
          <w:p w14:paraId="1BE17B9A"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7,000</w:t>
            </w:r>
          </w:p>
        </w:tc>
        <w:tc>
          <w:tcPr>
            <w:tcW w:w="1360" w:type="dxa"/>
            <w:tcBorders>
              <w:top w:val="nil"/>
              <w:left w:val="nil"/>
              <w:bottom w:val="single" w:sz="4" w:space="0" w:color="auto"/>
              <w:right w:val="single" w:sz="4" w:space="0" w:color="auto"/>
            </w:tcBorders>
            <w:shd w:val="clear" w:color="auto" w:fill="auto"/>
            <w:vAlign w:val="center"/>
            <w:hideMark/>
          </w:tcPr>
          <w:p w14:paraId="344F96B7"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7,000</w:t>
            </w:r>
          </w:p>
        </w:tc>
      </w:tr>
      <w:tr w:rsidR="00515539" w:rsidRPr="00515539" w14:paraId="23E24136" w14:textId="77777777" w:rsidTr="00515539">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31C68A8C" w14:textId="77777777" w:rsidR="00515539" w:rsidRPr="00515539" w:rsidRDefault="00515539" w:rsidP="00515539">
            <w:pPr>
              <w:rPr>
                <w:rFonts w:cs="Arial"/>
                <w:spacing w:val="0"/>
                <w:sz w:val="22"/>
                <w:szCs w:val="22"/>
                <w:lang w:eastAsia="en-GB"/>
              </w:rPr>
            </w:pPr>
            <w:r w:rsidRPr="00515539">
              <w:rPr>
                <w:rFonts w:cs="Arial"/>
                <w:spacing w:val="0"/>
                <w:sz w:val="22"/>
                <w:szCs w:val="22"/>
                <w:lang w:eastAsia="en-GB"/>
              </w:rPr>
              <w:t>(Under)/over borrowing</w:t>
            </w:r>
          </w:p>
        </w:tc>
        <w:tc>
          <w:tcPr>
            <w:tcW w:w="1200" w:type="dxa"/>
            <w:tcBorders>
              <w:top w:val="nil"/>
              <w:left w:val="nil"/>
              <w:bottom w:val="single" w:sz="4" w:space="0" w:color="auto"/>
              <w:right w:val="single" w:sz="4" w:space="0" w:color="auto"/>
            </w:tcBorders>
            <w:shd w:val="clear" w:color="auto" w:fill="auto"/>
            <w:vAlign w:val="center"/>
            <w:hideMark/>
          </w:tcPr>
          <w:p w14:paraId="28BDF31B"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(22,181)</w:t>
            </w:r>
          </w:p>
        </w:tc>
        <w:tc>
          <w:tcPr>
            <w:tcW w:w="1300" w:type="dxa"/>
            <w:tcBorders>
              <w:top w:val="nil"/>
              <w:left w:val="nil"/>
              <w:bottom w:val="single" w:sz="4" w:space="0" w:color="auto"/>
              <w:right w:val="single" w:sz="4" w:space="0" w:color="auto"/>
            </w:tcBorders>
            <w:shd w:val="clear" w:color="auto" w:fill="auto"/>
            <w:vAlign w:val="center"/>
            <w:hideMark/>
          </w:tcPr>
          <w:p w14:paraId="1A2408E9"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(22,180)</w:t>
            </w:r>
          </w:p>
        </w:tc>
        <w:tc>
          <w:tcPr>
            <w:tcW w:w="1300" w:type="dxa"/>
            <w:tcBorders>
              <w:top w:val="nil"/>
              <w:left w:val="nil"/>
              <w:bottom w:val="single" w:sz="4" w:space="0" w:color="auto"/>
              <w:right w:val="single" w:sz="4" w:space="0" w:color="auto"/>
            </w:tcBorders>
            <w:shd w:val="clear" w:color="auto" w:fill="auto"/>
            <w:vAlign w:val="center"/>
            <w:hideMark/>
          </w:tcPr>
          <w:p w14:paraId="73768BAA"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(22,180)</w:t>
            </w:r>
          </w:p>
        </w:tc>
        <w:tc>
          <w:tcPr>
            <w:tcW w:w="1300" w:type="dxa"/>
            <w:tcBorders>
              <w:top w:val="nil"/>
              <w:left w:val="nil"/>
              <w:bottom w:val="single" w:sz="4" w:space="0" w:color="auto"/>
              <w:right w:val="single" w:sz="4" w:space="0" w:color="auto"/>
            </w:tcBorders>
            <w:shd w:val="clear" w:color="auto" w:fill="auto"/>
            <w:vAlign w:val="center"/>
            <w:hideMark/>
          </w:tcPr>
          <w:p w14:paraId="25D8DB5E"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(22,181)</w:t>
            </w:r>
          </w:p>
        </w:tc>
        <w:tc>
          <w:tcPr>
            <w:tcW w:w="1360" w:type="dxa"/>
            <w:tcBorders>
              <w:top w:val="nil"/>
              <w:left w:val="nil"/>
              <w:bottom w:val="single" w:sz="4" w:space="0" w:color="auto"/>
              <w:right w:val="single" w:sz="4" w:space="0" w:color="auto"/>
            </w:tcBorders>
            <w:shd w:val="clear" w:color="auto" w:fill="auto"/>
            <w:vAlign w:val="center"/>
            <w:hideMark/>
          </w:tcPr>
          <w:p w14:paraId="0B645A20" w14:textId="77777777" w:rsidR="00515539" w:rsidRPr="00515539" w:rsidRDefault="00515539" w:rsidP="00515539">
            <w:pPr>
              <w:jc w:val="right"/>
              <w:rPr>
                <w:rFonts w:cs="Arial"/>
                <w:spacing w:val="0"/>
                <w:sz w:val="22"/>
                <w:szCs w:val="22"/>
                <w:lang w:eastAsia="en-GB"/>
              </w:rPr>
            </w:pPr>
            <w:r w:rsidRPr="00515539">
              <w:rPr>
                <w:rFonts w:cs="Arial"/>
                <w:spacing w:val="0"/>
                <w:sz w:val="22"/>
                <w:szCs w:val="22"/>
                <w:lang w:eastAsia="en-GB"/>
              </w:rPr>
              <w:t>(22,181)</w:t>
            </w:r>
          </w:p>
        </w:tc>
      </w:tr>
      <w:tr w:rsidR="00515539" w:rsidRPr="00515539" w14:paraId="59CF7501" w14:textId="77777777" w:rsidTr="00515539">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39EC8850" w14:textId="77777777" w:rsidR="00515539" w:rsidRPr="00515539" w:rsidRDefault="00515539" w:rsidP="00515539">
            <w:pPr>
              <w:rPr>
                <w:rFonts w:cs="Arial"/>
                <w:b/>
                <w:bCs/>
                <w:spacing w:val="0"/>
                <w:sz w:val="22"/>
                <w:szCs w:val="22"/>
                <w:lang w:eastAsia="en-GB"/>
              </w:rPr>
            </w:pPr>
            <w:r w:rsidRPr="00515539">
              <w:rPr>
                <w:rFonts w:cs="Arial"/>
                <w:b/>
                <w:bCs/>
                <w:spacing w:val="0"/>
                <w:sz w:val="22"/>
                <w:szCs w:val="22"/>
                <w:lang w:eastAsia="en-GB"/>
              </w:rPr>
              <w:t>Expected investments</w:t>
            </w:r>
          </w:p>
        </w:tc>
        <w:tc>
          <w:tcPr>
            <w:tcW w:w="1200" w:type="dxa"/>
            <w:tcBorders>
              <w:top w:val="nil"/>
              <w:left w:val="nil"/>
              <w:bottom w:val="single" w:sz="4" w:space="0" w:color="auto"/>
              <w:right w:val="single" w:sz="4" w:space="0" w:color="auto"/>
            </w:tcBorders>
            <w:shd w:val="clear" w:color="auto" w:fill="auto"/>
            <w:vAlign w:val="center"/>
            <w:hideMark/>
          </w:tcPr>
          <w:p w14:paraId="42363AC8" w14:textId="77777777" w:rsidR="00515539" w:rsidRPr="00515539" w:rsidRDefault="00515539" w:rsidP="00515539">
            <w:pPr>
              <w:jc w:val="right"/>
              <w:rPr>
                <w:rFonts w:cs="Arial"/>
                <w:b/>
                <w:bCs/>
                <w:spacing w:val="0"/>
                <w:sz w:val="22"/>
                <w:szCs w:val="22"/>
                <w:lang w:eastAsia="en-GB"/>
              </w:rPr>
            </w:pPr>
            <w:r w:rsidRPr="00515539">
              <w:rPr>
                <w:rFonts w:cs="Arial"/>
                <w:b/>
                <w:bCs/>
                <w:spacing w:val="0"/>
                <w:sz w:val="22"/>
                <w:szCs w:val="22"/>
                <w:lang w:eastAsia="en-GB"/>
              </w:rPr>
              <w:t>26,379</w:t>
            </w:r>
          </w:p>
        </w:tc>
        <w:tc>
          <w:tcPr>
            <w:tcW w:w="1300" w:type="dxa"/>
            <w:tcBorders>
              <w:top w:val="nil"/>
              <w:left w:val="nil"/>
              <w:bottom w:val="single" w:sz="4" w:space="0" w:color="auto"/>
              <w:right w:val="single" w:sz="4" w:space="0" w:color="auto"/>
            </w:tcBorders>
            <w:shd w:val="clear" w:color="auto" w:fill="auto"/>
            <w:vAlign w:val="center"/>
            <w:hideMark/>
          </w:tcPr>
          <w:p w14:paraId="3579DCB4" w14:textId="77777777" w:rsidR="00515539" w:rsidRPr="00515539" w:rsidRDefault="00515539" w:rsidP="00515539">
            <w:pPr>
              <w:jc w:val="right"/>
              <w:rPr>
                <w:rFonts w:cs="Arial"/>
                <w:b/>
                <w:bCs/>
                <w:spacing w:val="0"/>
                <w:sz w:val="22"/>
                <w:szCs w:val="22"/>
                <w:lang w:eastAsia="en-GB"/>
              </w:rPr>
            </w:pPr>
            <w:r w:rsidRPr="00515539">
              <w:rPr>
                <w:rFonts w:cs="Arial"/>
                <w:b/>
                <w:bCs/>
                <w:spacing w:val="0"/>
                <w:sz w:val="22"/>
                <w:szCs w:val="22"/>
                <w:lang w:eastAsia="en-GB"/>
              </w:rPr>
              <w:t>13,717</w:t>
            </w:r>
          </w:p>
        </w:tc>
        <w:tc>
          <w:tcPr>
            <w:tcW w:w="1300" w:type="dxa"/>
            <w:tcBorders>
              <w:top w:val="nil"/>
              <w:left w:val="nil"/>
              <w:bottom w:val="single" w:sz="4" w:space="0" w:color="auto"/>
              <w:right w:val="single" w:sz="4" w:space="0" w:color="auto"/>
            </w:tcBorders>
            <w:shd w:val="clear" w:color="auto" w:fill="auto"/>
            <w:vAlign w:val="center"/>
            <w:hideMark/>
          </w:tcPr>
          <w:p w14:paraId="1F14BB43" w14:textId="77777777" w:rsidR="00515539" w:rsidRPr="00515539" w:rsidRDefault="00515539" w:rsidP="00515539">
            <w:pPr>
              <w:jc w:val="right"/>
              <w:rPr>
                <w:rFonts w:cs="Arial"/>
                <w:b/>
                <w:bCs/>
                <w:spacing w:val="0"/>
                <w:sz w:val="22"/>
                <w:szCs w:val="22"/>
                <w:lang w:eastAsia="en-GB"/>
              </w:rPr>
            </w:pPr>
            <w:r w:rsidRPr="00515539">
              <w:rPr>
                <w:rFonts w:cs="Arial"/>
                <w:b/>
                <w:bCs/>
                <w:spacing w:val="0"/>
                <w:sz w:val="22"/>
                <w:szCs w:val="22"/>
                <w:lang w:eastAsia="en-GB"/>
              </w:rPr>
              <w:t>14,669</w:t>
            </w:r>
          </w:p>
        </w:tc>
        <w:tc>
          <w:tcPr>
            <w:tcW w:w="1300" w:type="dxa"/>
            <w:tcBorders>
              <w:top w:val="nil"/>
              <w:left w:val="nil"/>
              <w:bottom w:val="single" w:sz="4" w:space="0" w:color="auto"/>
              <w:right w:val="single" w:sz="4" w:space="0" w:color="auto"/>
            </w:tcBorders>
            <w:shd w:val="clear" w:color="auto" w:fill="auto"/>
            <w:vAlign w:val="center"/>
            <w:hideMark/>
          </w:tcPr>
          <w:p w14:paraId="7960B2F5" w14:textId="77777777" w:rsidR="00515539" w:rsidRPr="00515539" w:rsidRDefault="00515539" w:rsidP="00515539">
            <w:pPr>
              <w:jc w:val="right"/>
              <w:rPr>
                <w:rFonts w:cs="Arial"/>
                <w:b/>
                <w:bCs/>
                <w:spacing w:val="0"/>
                <w:sz w:val="22"/>
                <w:szCs w:val="22"/>
                <w:lang w:eastAsia="en-GB"/>
              </w:rPr>
            </w:pPr>
            <w:r w:rsidRPr="00515539">
              <w:rPr>
                <w:rFonts w:cs="Arial"/>
                <w:b/>
                <w:bCs/>
                <w:spacing w:val="0"/>
                <w:sz w:val="22"/>
                <w:szCs w:val="22"/>
                <w:lang w:eastAsia="en-GB"/>
              </w:rPr>
              <w:t>15,968</w:t>
            </w:r>
          </w:p>
        </w:tc>
        <w:tc>
          <w:tcPr>
            <w:tcW w:w="1360" w:type="dxa"/>
            <w:tcBorders>
              <w:top w:val="nil"/>
              <w:left w:val="nil"/>
              <w:bottom w:val="single" w:sz="4" w:space="0" w:color="auto"/>
              <w:right w:val="single" w:sz="4" w:space="0" w:color="auto"/>
            </w:tcBorders>
            <w:shd w:val="clear" w:color="auto" w:fill="auto"/>
            <w:vAlign w:val="center"/>
            <w:hideMark/>
          </w:tcPr>
          <w:p w14:paraId="0DBE54FF" w14:textId="77777777" w:rsidR="00515539" w:rsidRPr="00515539" w:rsidRDefault="00515539" w:rsidP="00515539">
            <w:pPr>
              <w:jc w:val="right"/>
              <w:rPr>
                <w:rFonts w:cs="Arial"/>
                <w:b/>
                <w:bCs/>
                <w:spacing w:val="0"/>
                <w:sz w:val="22"/>
                <w:szCs w:val="22"/>
                <w:lang w:eastAsia="en-GB"/>
              </w:rPr>
            </w:pPr>
            <w:r w:rsidRPr="00515539">
              <w:rPr>
                <w:rFonts w:cs="Arial"/>
                <w:b/>
                <w:bCs/>
                <w:spacing w:val="0"/>
                <w:sz w:val="22"/>
                <w:szCs w:val="22"/>
                <w:lang w:eastAsia="en-GB"/>
              </w:rPr>
              <w:t>17,268</w:t>
            </w:r>
          </w:p>
        </w:tc>
      </w:tr>
    </w:tbl>
    <w:p w14:paraId="3AAE1AE4" w14:textId="77777777" w:rsidR="00EB796A" w:rsidRPr="00B66EDA" w:rsidRDefault="00A724BF" w:rsidP="008475A0">
      <w:pPr>
        <w:pStyle w:val="BodyText"/>
        <w:rPr>
          <w:rFonts w:ascii="Arial" w:hAnsi="Arial" w:cs="Arial"/>
          <w:bCs/>
          <w:sz w:val="20"/>
          <w:szCs w:val="20"/>
          <w:lang w:val="en-GB"/>
        </w:rPr>
      </w:pPr>
      <w:r w:rsidRPr="00B66EDA">
        <w:rPr>
          <w:rFonts w:ascii="Arial" w:hAnsi="Arial" w:cs="Arial"/>
          <w:bCs/>
          <w:sz w:val="20"/>
          <w:szCs w:val="20"/>
          <w:lang w:val="en-GB"/>
        </w:rPr>
        <w:t xml:space="preserve">*Working capital balances shown are estimated year-end; these may </w:t>
      </w:r>
      <w:r w:rsidR="00045CEC">
        <w:rPr>
          <w:rFonts w:ascii="Arial" w:hAnsi="Arial" w:cs="Arial"/>
          <w:bCs/>
          <w:sz w:val="20"/>
          <w:szCs w:val="20"/>
          <w:lang w:val="en-GB"/>
        </w:rPr>
        <w:t>vary</w:t>
      </w:r>
      <w:r w:rsidR="00154CFA">
        <w:rPr>
          <w:rFonts w:ascii="Arial" w:hAnsi="Arial" w:cs="Arial"/>
          <w:bCs/>
          <w:sz w:val="20"/>
          <w:szCs w:val="20"/>
          <w:lang w:val="en-GB"/>
        </w:rPr>
        <w:t>.</w:t>
      </w:r>
    </w:p>
    <w:p w14:paraId="444A61E9" w14:textId="77777777" w:rsidR="00CA001E" w:rsidRPr="00B66EDA" w:rsidRDefault="00A724BF" w:rsidP="004314C7">
      <w:pPr>
        <w:pStyle w:val="subhead"/>
        <w:pageBreakBefore/>
        <w:ind w:left="357" w:hanging="357"/>
        <w:rPr>
          <w:noProof w:val="0"/>
          <w:sz w:val="20"/>
          <w:szCs w:val="20"/>
        </w:rPr>
      </w:pPr>
      <w:bookmarkStart w:id="108" w:name="_Toc465069754"/>
      <w:bookmarkStart w:id="109" w:name="_Toc465069887"/>
      <w:bookmarkStart w:id="110" w:name="_Toc465071312"/>
      <w:bookmarkStart w:id="111" w:name="_Toc465081936"/>
      <w:bookmarkStart w:id="112" w:name="_Toc465082054"/>
      <w:bookmarkStart w:id="113" w:name="_Toc465082894"/>
      <w:bookmarkStart w:id="114" w:name="_Toc465082969"/>
      <w:bookmarkStart w:id="115" w:name="_Toc465083923"/>
      <w:bookmarkStart w:id="116" w:name="_Toc465084167"/>
      <w:bookmarkStart w:id="117" w:name="_Toc465084211"/>
      <w:bookmarkStart w:id="118" w:name="_Toc465084333"/>
      <w:bookmarkStart w:id="119" w:name="_Toc56008270"/>
      <w:r w:rsidRPr="00B66EDA">
        <w:rPr>
          <w:noProof w:val="0"/>
          <w:sz w:val="20"/>
          <w:szCs w:val="20"/>
        </w:rPr>
        <w:lastRenderedPageBreak/>
        <w:t>Minimum revenue provision (MRP) policy statement</w:t>
      </w:r>
      <w:bookmarkEnd w:id="108"/>
      <w:bookmarkEnd w:id="109"/>
      <w:bookmarkEnd w:id="110"/>
      <w:bookmarkEnd w:id="111"/>
      <w:bookmarkEnd w:id="112"/>
      <w:bookmarkEnd w:id="113"/>
      <w:bookmarkEnd w:id="114"/>
      <w:bookmarkEnd w:id="115"/>
      <w:bookmarkEnd w:id="116"/>
      <w:bookmarkEnd w:id="117"/>
      <w:bookmarkEnd w:id="118"/>
      <w:bookmarkEnd w:id="119"/>
    </w:p>
    <w:p w14:paraId="749B139D" w14:textId="77777777" w:rsidR="00CA001E" w:rsidRPr="00B66EDA" w:rsidRDefault="00A724BF" w:rsidP="00CA001E">
      <w:pPr>
        <w:pStyle w:val="BodyText"/>
        <w:spacing w:before="120" w:after="120"/>
        <w:ind w:left="357"/>
        <w:jc w:val="both"/>
        <w:rPr>
          <w:rFonts w:ascii="Arial" w:hAnsi="Arial" w:cs="Arial"/>
          <w:sz w:val="20"/>
          <w:szCs w:val="20"/>
          <w:lang w:val="en-GB"/>
        </w:rPr>
      </w:pPr>
      <w:r w:rsidRPr="00B66EDA">
        <w:rPr>
          <w:rFonts w:ascii="Arial" w:hAnsi="Arial" w:cs="Arial"/>
          <w:sz w:val="20"/>
          <w:szCs w:val="20"/>
          <w:lang w:val="en-GB"/>
        </w:rPr>
        <w:t xml:space="preserve">The Council is required to pay off an element of the accumulated General Fund capital spend each year (the CFR) through a revenue charge (the minimum revenue provision - MRP), although it is also allowed to undertake additional voluntary payments if required (voluntary revenue provision - VRP).  </w:t>
      </w:r>
    </w:p>
    <w:p w14:paraId="7C4C646B" w14:textId="77777777" w:rsidR="008C384F" w:rsidRPr="00B66EDA" w:rsidRDefault="00A724BF" w:rsidP="008C384F">
      <w:pPr>
        <w:pStyle w:val="BodyText"/>
        <w:spacing w:before="120" w:after="120"/>
        <w:ind w:left="357"/>
        <w:jc w:val="both"/>
        <w:rPr>
          <w:rFonts w:ascii="Arial" w:hAnsi="Arial" w:cs="Arial"/>
          <w:sz w:val="20"/>
          <w:szCs w:val="20"/>
          <w:lang w:val="en-GB"/>
        </w:rPr>
      </w:pPr>
      <w:r>
        <w:rPr>
          <w:rFonts w:ascii="Arial" w:hAnsi="Arial" w:cs="Arial"/>
          <w:sz w:val="20"/>
          <w:szCs w:val="20"/>
          <w:lang w:val="en-GB"/>
        </w:rPr>
        <w:t>DLUCH</w:t>
      </w:r>
      <w:r w:rsidR="00B02E25" w:rsidRPr="00B66EDA">
        <w:rPr>
          <w:rFonts w:ascii="Arial" w:hAnsi="Arial" w:cs="Arial"/>
          <w:sz w:val="20"/>
          <w:szCs w:val="20"/>
          <w:lang w:val="en-GB"/>
        </w:rPr>
        <w:t xml:space="preserve"> regulations have been issued which require the full Council to approve </w:t>
      </w:r>
      <w:r w:rsidR="00B02E25" w:rsidRPr="00B66EDA">
        <w:rPr>
          <w:rFonts w:ascii="Arial" w:hAnsi="Arial" w:cs="Arial"/>
          <w:b/>
          <w:sz w:val="20"/>
          <w:szCs w:val="20"/>
          <w:lang w:val="en-GB"/>
        </w:rPr>
        <w:t>an MRP Statement</w:t>
      </w:r>
      <w:r w:rsidR="00B02E25" w:rsidRPr="00B66EDA">
        <w:rPr>
          <w:rFonts w:ascii="Arial" w:hAnsi="Arial" w:cs="Arial"/>
          <w:sz w:val="20"/>
          <w:szCs w:val="20"/>
          <w:lang w:val="en-GB"/>
        </w:rPr>
        <w:t xml:space="preserve"> in advance of each year. A variety of options are provided to councils, so long as there is a prudent provision.  The Council is recommended to approve the following MRP Statement:</w:t>
      </w:r>
    </w:p>
    <w:p w14:paraId="19B55CC7" w14:textId="77777777" w:rsidR="00CA001E" w:rsidRPr="00B66EDA" w:rsidRDefault="00A724BF" w:rsidP="008C384F">
      <w:pPr>
        <w:pStyle w:val="BodyText"/>
        <w:spacing w:before="120" w:after="120"/>
        <w:ind w:left="357"/>
        <w:jc w:val="both"/>
        <w:rPr>
          <w:rFonts w:ascii="Arial" w:hAnsi="Arial" w:cs="Arial"/>
          <w:sz w:val="20"/>
          <w:szCs w:val="20"/>
          <w:lang w:val="en-GB"/>
        </w:rPr>
      </w:pPr>
      <w:r w:rsidRPr="00B66EDA">
        <w:rPr>
          <w:rFonts w:ascii="Arial" w:hAnsi="Arial" w:cs="Arial"/>
          <w:sz w:val="20"/>
          <w:szCs w:val="20"/>
          <w:lang w:val="en-GB"/>
        </w:rPr>
        <w:t>For all unsupported borrowing (including finance leases) the MRP policy will be</w:t>
      </w:r>
      <w:r w:rsidRPr="00B66EDA">
        <w:rPr>
          <w:rFonts w:ascii="Arial" w:hAnsi="Arial" w:cs="Arial"/>
          <w:i/>
          <w:sz w:val="20"/>
          <w:szCs w:val="20"/>
          <w:lang w:val="en-GB"/>
        </w:rPr>
        <w:t>:</w:t>
      </w:r>
    </w:p>
    <w:p w14:paraId="5DB4F42A" w14:textId="77777777" w:rsidR="008C384F" w:rsidRPr="00B66EDA" w:rsidRDefault="00A724BF" w:rsidP="00CF69B5">
      <w:pPr>
        <w:pStyle w:val="BodyText"/>
        <w:numPr>
          <w:ilvl w:val="0"/>
          <w:numId w:val="4"/>
        </w:numPr>
        <w:tabs>
          <w:tab w:val="clear" w:pos="700"/>
          <w:tab w:val="num" w:pos="1260"/>
        </w:tabs>
        <w:ind w:left="1260" w:hanging="540"/>
        <w:jc w:val="both"/>
        <w:rPr>
          <w:rFonts w:ascii="Arial" w:hAnsi="Arial" w:cs="Arial"/>
          <w:sz w:val="20"/>
          <w:szCs w:val="20"/>
          <w:lang w:val="en-GB"/>
        </w:rPr>
      </w:pPr>
      <w:r w:rsidRPr="00B66EDA">
        <w:rPr>
          <w:rFonts w:ascii="Arial" w:hAnsi="Arial" w:cs="Arial"/>
          <w:b/>
          <w:sz w:val="20"/>
          <w:szCs w:val="20"/>
          <w:lang w:val="en-GB"/>
        </w:rPr>
        <w:t>Asset life method</w:t>
      </w:r>
      <w:r w:rsidRPr="00B66EDA">
        <w:rPr>
          <w:rFonts w:ascii="Arial" w:hAnsi="Arial" w:cs="Arial"/>
          <w:sz w:val="20"/>
          <w:szCs w:val="20"/>
          <w:lang w:val="en-GB"/>
        </w:rPr>
        <w:t xml:space="preserve"> – MRP will be based on the estimated life of the assets, in accordance with the regulations.</w:t>
      </w:r>
    </w:p>
    <w:p w14:paraId="0207E01B" w14:textId="77777777" w:rsidR="008C384F" w:rsidRPr="00B66EDA" w:rsidRDefault="008C384F" w:rsidP="008C384F">
      <w:pPr>
        <w:pStyle w:val="BodyText"/>
        <w:jc w:val="both"/>
        <w:rPr>
          <w:rFonts w:ascii="Arial" w:hAnsi="Arial" w:cs="Arial"/>
          <w:b/>
          <w:sz w:val="20"/>
          <w:szCs w:val="20"/>
          <w:lang w:val="en-GB"/>
        </w:rPr>
      </w:pPr>
    </w:p>
    <w:p w14:paraId="032D0E0E" w14:textId="77777777" w:rsidR="00CA001E" w:rsidRPr="00B66EDA" w:rsidRDefault="00A724BF" w:rsidP="008C384F">
      <w:pPr>
        <w:pStyle w:val="BodyText"/>
        <w:ind w:left="357"/>
        <w:jc w:val="both"/>
        <w:rPr>
          <w:rFonts w:ascii="Arial" w:hAnsi="Arial" w:cs="Arial"/>
          <w:sz w:val="20"/>
          <w:szCs w:val="20"/>
          <w:lang w:val="en-GB"/>
        </w:rPr>
      </w:pPr>
      <w:r w:rsidRPr="00B66EDA">
        <w:rPr>
          <w:rFonts w:ascii="Arial" w:hAnsi="Arial" w:cs="Arial"/>
          <w:sz w:val="20"/>
          <w:szCs w:val="20"/>
          <w:lang w:val="en-GB"/>
        </w:rPr>
        <w:t xml:space="preserve">This method provides for a reduction in the borrowing need over approximately the asset’s life. </w:t>
      </w:r>
    </w:p>
    <w:p w14:paraId="7280E2F0" w14:textId="77777777" w:rsidR="00EB796A" w:rsidRPr="00B66EDA" w:rsidRDefault="00A724BF" w:rsidP="008C384F">
      <w:pPr>
        <w:pStyle w:val="BodyText"/>
        <w:spacing w:before="120" w:after="120"/>
        <w:ind w:left="357"/>
        <w:jc w:val="both"/>
        <w:rPr>
          <w:rFonts w:ascii="Arial" w:hAnsi="Arial" w:cs="Arial"/>
          <w:sz w:val="20"/>
          <w:szCs w:val="20"/>
          <w:lang w:val="en-GB"/>
        </w:rPr>
      </w:pPr>
      <w:r w:rsidRPr="00B66EDA">
        <w:rPr>
          <w:rFonts w:ascii="Arial" w:hAnsi="Arial" w:cs="Arial"/>
          <w:sz w:val="20"/>
          <w:szCs w:val="20"/>
          <w:lang w:val="en-GB"/>
        </w:rPr>
        <w:t>Repayments included in annual finance leases are applied as MRP.</w:t>
      </w:r>
    </w:p>
    <w:p w14:paraId="558EF656" w14:textId="77777777" w:rsidR="00EB796A" w:rsidRPr="00B66EDA" w:rsidRDefault="00A724BF" w:rsidP="00131346">
      <w:pPr>
        <w:pStyle w:val="Heading"/>
        <w:pageBreakBefore/>
        <w:ind w:left="357" w:hanging="357"/>
        <w:rPr>
          <w:rFonts w:ascii="Arial" w:hAnsi="Arial"/>
          <w:noProof w:val="0"/>
          <w:color w:val="FF0000"/>
          <w:sz w:val="33"/>
          <w:szCs w:val="33"/>
        </w:rPr>
      </w:pPr>
      <w:bookmarkStart w:id="120" w:name="_Toc56008271"/>
      <w:r w:rsidRPr="00B66EDA">
        <w:rPr>
          <w:rFonts w:ascii="Arial" w:hAnsi="Arial"/>
          <w:noProof w:val="0"/>
          <w:sz w:val="33"/>
          <w:szCs w:val="33"/>
        </w:rPr>
        <w:lastRenderedPageBreak/>
        <w:t>BORROWING</w:t>
      </w:r>
      <w:bookmarkEnd w:id="120"/>
      <w:r w:rsidRPr="00B66EDA">
        <w:rPr>
          <w:rFonts w:ascii="Arial" w:hAnsi="Arial"/>
          <w:noProof w:val="0"/>
          <w:sz w:val="33"/>
          <w:szCs w:val="33"/>
        </w:rPr>
        <w:t xml:space="preserve"> </w:t>
      </w:r>
    </w:p>
    <w:p w14:paraId="688D1BD4" w14:textId="77777777" w:rsidR="00EB796A" w:rsidRPr="00B66EDA" w:rsidRDefault="00A724BF" w:rsidP="000F4D6A">
      <w:pPr>
        <w:numPr>
          <w:ilvl w:val="12"/>
          <w:numId w:val="0"/>
        </w:numPr>
        <w:jc w:val="both"/>
        <w:rPr>
          <w:rFonts w:cs="Arial"/>
        </w:rPr>
      </w:pPr>
      <w:r w:rsidRPr="00B66EDA">
        <w:rPr>
          <w:rFonts w:cs="Arial"/>
        </w:rPr>
        <w:t xml:space="preserve">The capital expenditure plans set out in Section 2 provide details of the service activity of the Council. The treasury management function ensures that the Council’s cash is organised in accordance with the relevant professional codes, so that sufficient cash is available to meet this service activity and the Council’s capital strategy. This will involve both the organisation of the cash flow and, where capital plans require, the organisation of appropriate borrowing facilities. The strategy covers the relevant treasury / prudential indicators, the current and projected debt </w:t>
      </w:r>
      <w:proofErr w:type="gramStart"/>
      <w:r w:rsidRPr="00B66EDA">
        <w:rPr>
          <w:rFonts w:cs="Arial"/>
        </w:rPr>
        <w:t>positions</w:t>
      </w:r>
      <w:proofErr w:type="gramEnd"/>
      <w:r w:rsidRPr="00B66EDA">
        <w:rPr>
          <w:rFonts w:cs="Arial"/>
        </w:rPr>
        <w:t xml:space="preserve"> and the annual investment strategy.</w:t>
      </w:r>
    </w:p>
    <w:p w14:paraId="08718503" w14:textId="77777777" w:rsidR="00EB796A" w:rsidRPr="00B66EDA" w:rsidRDefault="00EB796A" w:rsidP="000F4D6A">
      <w:pPr>
        <w:numPr>
          <w:ilvl w:val="12"/>
          <w:numId w:val="0"/>
        </w:numPr>
        <w:jc w:val="both"/>
        <w:rPr>
          <w:rFonts w:cs="Arial"/>
        </w:rPr>
      </w:pPr>
    </w:p>
    <w:p w14:paraId="06087446" w14:textId="77777777" w:rsidR="00EB796A" w:rsidRPr="00B66EDA" w:rsidRDefault="00A724BF" w:rsidP="00AA06DE">
      <w:pPr>
        <w:pStyle w:val="subhead"/>
        <w:rPr>
          <w:noProof w:val="0"/>
          <w:sz w:val="20"/>
          <w:szCs w:val="20"/>
        </w:rPr>
      </w:pPr>
      <w:bookmarkStart w:id="121" w:name="_Toc56008272"/>
      <w:r w:rsidRPr="00B66EDA">
        <w:rPr>
          <w:noProof w:val="0"/>
          <w:sz w:val="20"/>
          <w:szCs w:val="20"/>
        </w:rPr>
        <w:t>Current portfolio position</w:t>
      </w:r>
      <w:bookmarkEnd w:id="121"/>
    </w:p>
    <w:p w14:paraId="0D614D0B" w14:textId="77777777" w:rsidR="007004E0" w:rsidRPr="00B66EDA" w:rsidRDefault="00A724BF" w:rsidP="00292768">
      <w:pPr>
        <w:widowControl w:val="0"/>
        <w:numPr>
          <w:ilvl w:val="12"/>
          <w:numId w:val="0"/>
        </w:numPr>
        <w:spacing w:before="120" w:after="120"/>
        <w:jc w:val="both"/>
        <w:rPr>
          <w:rFonts w:cs="Arial"/>
          <w:bCs/>
        </w:rPr>
      </w:pPr>
      <w:r w:rsidRPr="00B66EDA">
        <w:rPr>
          <w:rFonts w:cs="Arial"/>
          <w:bCs/>
        </w:rPr>
        <w:t xml:space="preserve">The overall treasury management portfolio as </w:t>
      </w:r>
      <w:proofErr w:type="gramStart"/>
      <w:r w:rsidRPr="00B66EDA">
        <w:rPr>
          <w:rFonts w:cs="Arial"/>
          <w:bCs/>
        </w:rPr>
        <w:t>at</w:t>
      </w:r>
      <w:proofErr w:type="gramEnd"/>
      <w:r w:rsidRPr="00B66EDA">
        <w:rPr>
          <w:rFonts w:cs="Arial"/>
          <w:bCs/>
        </w:rPr>
        <w:t xml:space="preserve"> 31 March 202</w:t>
      </w:r>
      <w:r w:rsidR="008E4F20">
        <w:rPr>
          <w:rFonts w:cs="Arial"/>
          <w:bCs/>
        </w:rPr>
        <w:t>2</w:t>
      </w:r>
      <w:r w:rsidRPr="00B66EDA">
        <w:rPr>
          <w:rFonts w:cs="Arial"/>
          <w:bCs/>
        </w:rPr>
        <w:t xml:space="preserve"> and the position as at </w:t>
      </w:r>
      <w:r w:rsidR="00154CFA">
        <w:rPr>
          <w:rFonts w:cs="Arial"/>
          <w:bCs/>
        </w:rPr>
        <w:t>30</w:t>
      </w:r>
      <w:r w:rsidRPr="00B66EDA">
        <w:rPr>
          <w:rFonts w:cs="Arial"/>
          <w:bCs/>
        </w:rPr>
        <w:t xml:space="preserve"> </w:t>
      </w:r>
      <w:r w:rsidR="00154CFA">
        <w:rPr>
          <w:rFonts w:cs="Arial"/>
          <w:bCs/>
        </w:rPr>
        <w:t xml:space="preserve">November </w:t>
      </w:r>
      <w:r w:rsidRPr="00B66EDA">
        <w:rPr>
          <w:rFonts w:cs="Arial"/>
          <w:bCs/>
        </w:rPr>
        <w:t>202</w:t>
      </w:r>
      <w:r w:rsidR="008E4F20">
        <w:rPr>
          <w:rFonts w:cs="Arial"/>
          <w:bCs/>
        </w:rPr>
        <w:t>2</w:t>
      </w:r>
      <w:r w:rsidRPr="00B66EDA">
        <w:rPr>
          <w:rFonts w:cs="Arial"/>
          <w:bCs/>
        </w:rPr>
        <w:t xml:space="preserve"> are shown below for both borrowing and investments.</w:t>
      </w:r>
    </w:p>
    <w:tbl>
      <w:tblPr>
        <w:tblW w:w="8880" w:type="dxa"/>
        <w:jc w:val="center"/>
        <w:tblLook w:val="04A0" w:firstRow="1" w:lastRow="0" w:firstColumn="1" w:lastColumn="0" w:noHBand="0" w:noVBand="1"/>
      </w:tblPr>
      <w:tblGrid>
        <w:gridCol w:w="4480"/>
        <w:gridCol w:w="1252"/>
        <w:gridCol w:w="948"/>
        <w:gridCol w:w="1252"/>
        <w:gridCol w:w="948"/>
      </w:tblGrid>
      <w:tr w:rsidR="002252C6" w14:paraId="4EFBA25C" w14:textId="77777777" w:rsidTr="000C1CD6">
        <w:trPr>
          <w:trHeight w:val="780"/>
          <w:jc w:val="center"/>
        </w:trPr>
        <w:tc>
          <w:tcPr>
            <w:tcW w:w="4480"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14:paraId="68D54788" w14:textId="77777777" w:rsidR="000C1CD6" w:rsidRPr="000C1CD6" w:rsidRDefault="00A724BF" w:rsidP="000C1CD6">
            <w:pPr>
              <w:rPr>
                <w:rFonts w:cs="Arial"/>
                <w:b/>
                <w:bCs/>
                <w:color w:val="000000"/>
                <w:spacing w:val="0"/>
                <w:sz w:val="24"/>
                <w:szCs w:val="24"/>
                <w:lang w:eastAsia="en-GB"/>
              </w:rPr>
            </w:pPr>
            <w:r w:rsidRPr="000C1CD6">
              <w:rPr>
                <w:rFonts w:cs="Arial"/>
                <w:b/>
                <w:bCs/>
                <w:color w:val="000000"/>
                <w:spacing w:val="0"/>
                <w:sz w:val="24"/>
                <w:szCs w:val="24"/>
                <w:lang w:eastAsia="en-GB"/>
              </w:rPr>
              <w:t>Treasury Portfolio</w:t>
            </w:r>
          </w:p>
        </w:tc>
        <w:tc>
          <w:tcPr>
            <w:tcW w:w="2200" w:type="dxa"/>
            <w:gridSpan w:val="2"/>
            <w:tcBorders>
              <w:top w:val="single" w:sz="4" w:space="0" w:color="auto"/>
              <w:left w:val="nil"/>
              <w:bottom w:val="single" w:sz="4" w:space="0" w:color="auto"/>
              <w:right w:val="single" w:sz="4" w:space="0" w:color="auto"/>
            </w:tcBorders>
            <w:shd w:val="clear" w:color="000000" w:fill="D9D9D9"/>
            <w:vAlign w:val="bottom"/>
            <w:hideMark/>
          </w:tcPr>
          <w:p w14:paraId="59261082" w14:textId="77777777" w:rsidR="000C1CD6" w:rsidRPr="000C1CD6" w:rsidRDefault="00A724BF" w:rsidP="000C1CD6">
            <w:pPr>
              <w:jc w:val="center"/>
              <w:rPr>
                <w:rFonts w:cs="Arial"/>
                <w:b/>
                <w:bCs/>
                <w:color w:val="000000"/>
                <w:spacing w:val="0"/>
                <w:sz w:val="24"/>
                <w:szCs w:val="24"/>
                <w:lang w:eastAsia="en-GB"/>
              </w:rPr>
            </w:pPr>
            <w:r w:rsidRPr="000C1CD6">
              <w:rPr>
                <w:rFonts w:cs="Arial"/>
                <w:b/>
                <w:bCs/>
                <w:color w:val="000000"/>
                <w:spacing w:val="0"/>
                <w:sz w:val="24"/>
                <w:szCs w:val="24"/>
                <w:lang w:eastAsia="en-GB"/>
              </w:rPr>
              <w:t xml:space="preserve">Actual </w:t>
            </w:r>
            <w:proofErr w:type="gramStart"/>
            <w:r w:rsidRPr="000C1CD6">
              <w:rPr>
                <w:rFonts w:cs="Arial"/>
                <w:b/>
                <w:bCs/>
                <w:color w:val="000000"/>
                <w:spacing w:val="0"/>
                <w:sz w:val="24"/>
                <w:szCs w:val="24"/>
                <w:lang w:eastAsia="en-GB"/>
              </w:rPr>
              <w:t>at</w:t>
            </w:r>
            <w:proofErr w:type="gramEnd"/>
            <w:r w:rsidRPr="000C1CD6">
              <w:rPr>
                <w:rFonts w:cs="Arial"/>
                <w:b/>
                <w:bCs/>
                <w:color w:val="000000"/>
                <w:spacing w:val="0"/>
                <w:sz w:val="24"/>
                <w:szCs w:val="24"/>
                <w:lang w:eastAsia="en-GB"/>
              </w:rPr>
              <w:t xml:space="preserve"> 31 March 202</w:t>
            </w:r>
            <w:r w:rsidR="008E4F20">
              <w:rPr>
                <w:rFonts w:cs="Arial"/>
                <w:b/>
                <w:bCs/>
                <w:color w:val="000000"/>
                <w:spacing w:val="0"/>
                <w:sz w:val="24"/>
                <w:szCs w:val="24"/>
                <w:lang w:eastAsia="en-GB"/>
              </w:rPr>
              <w:t>2</w:t>
            </w:r>
          </w:p>
        </w:tc>
        <w:tc>
          <w:tcPr>
            <w:tcW w:w="2200" w:type="dxa"/>
            <w:gridSpan w:val="2"/>
            <w:tcBorders>
              <w:top w:val="single" w:sz="4" w:space="0" w:color="auto"/>
              <w:left w:val="nil"/>
              <w:bottom w:val="single" w:sz="4" w:space="0" w:color="auto"/>
              <w:right w:val="single" w:sz="4" w:space="0" w:color="auto"/>
            </w:tcBorders>
            <w:shd w:val="clear" w:color="000000" w:fill="D9D9D9"/>
            <w:vAlign w:val="bottom"/>
            <w:hideMark/>
          </w:tcPr>
          <w:p w14:paraId="24543ED8" w14:textId="77777777" w:rsidR="000C1CD6" w:rsidRPr="000C1CD6" w:rsidRDefault="00A724BF" w:rsidP="000C1CD6">
            <w:pPr>
              <w:jc w:val="center"/>
              <w:rPr>
                <w:rFonts w:cs="Arial"/>
                <w:b/>
                <w:bCs/>
                <w:color w:val="000000"/>
                <w:spacing w:val="0"/>
                <w:sz w:val="24"/>
                <w:szCs w:val="24"/>
                <w:lang w:eastAsia="en-GB"/>
              </w:rPr>
            </w:pPr>
            <w:proofErr w:type="gramStart"/>
            <w:r>
              <w:rPr>
                <w:rFonts w:cs="Arial"/>
                <w:b/>
                <w:bCs/>
                <w:color w:val="000000"/>
                <w:spacing w:val="0"/>
                <w:sz w:val="24"/>
                <w:szCs w:val="24"/>
                <w:lang w:eastAsia="en-GB"/>
              </w:rPr>
              <w:t>A</w:t>
            </w:r>
            <w:r w:rsidR="00B02E25" w:rsidRPr="000C1CD6">
              <w:rPr>
                <w:rFonts w:cs="Arial"/>
                <w:b/>
                <w:bCs/>
                <w:color w:val="000000"/>
                <w:spacing w:val="0"/>
                <w:sz w:val="24"/>
                <w:szCs w:val="24"/>
                <w:lang w:eastAsia="en-GB"/>
              </w:rPr>
              <w:t>t</w:t>
            </w:r>
            <w:proofErr w:type="gramEnd"/>
            <w:r w:rsidR="00B02E25" w:rsidRPr="000C1CD6">
              <w:rPr>
                <w:rFonts w:cs="Arial"/>
                <w:b/>
                <w:bCs/>
                <w:color w:val="000000"/>
                <w:spacing w:val="0"/>
                <w:sz w:val="24"/>
                <w:szCs w:val="24"/>
                <w:lang w:eastAsia="en-GB"/>
              </w:rPr>
              <w:t xml:space="preserve"> 3</w:t>
            </w:r>
            <w:r>
              <w:rPr>
                <w:rFonts w:cs="Arial"/>
                <w:b/>
                <w:bCs/>
                <w:color w:val="000000"/>
                <w:spacing w:val="0"/>
                <w:sz w:val="24"/>
                <w:szCs w:val="24"/>
                <w:lang w:eastAsia="en-GB"/>
              </w:rPr>
              <w:t>0</w:t>
            </w:r>
            <w:r w:rsidR="00B02E25" w:rsidRPr="000C1CD6">
              <w:rPr>
                <w:rFonts w:cs="Arial"/>
                <w:b/>
                <w:bCs/>
                <w:color w:val="000000"/>
                <w:spacing w:val="0"/>
                <w:sz w:val="24"/>
                <w:szCs w:val="24"/>
                <w:lang w:eastAsia="en-GB"/>
              </w:rPr>
              <w:t xml:space="preserve"> </w:t>
            </w:r>
            <w:r>
              <w:rPr>
                <w:rFonts w:cs="Arial"/>
                <w:b/>
                <w:bCs/>
                <w:color w:val="000000"/>
                <w:spacing w:val="0"/>
                <w:sz w:val="24"/>
                <w:szCs w:val="24"/>
                <w:lang w:eastAsia="en-GB"/>
              </w:rPr>
              <w:t xml:space="preserve">November </w:t>
            </w:r>
            <w:r w:rsidR="00B02E25" w:rsidRPr="000C1CD6">
              <w:rPr>
                <w:rFonts w:cs="Arial"/>
                <w:b/>
                <w:bCs/>
                <w:color w:val="000000"/>
                <w:spacing w:val="0"/>
                <w:sz w:val="24"/>
                <w:szCs w:val="24"/>
                <w:lang w:eastAsia="en-GB"/>
              </w:rPr>
              <w:t>202</w:t>
            </w:r>
            <w:r w:rsidR="008E4F20">
              <w:rPr>
                <w:rFonts w:cs="Arial"/>
                <w:b/>
                <w:bCs/>
                <w:color w:val="000000"/>
                <w:spacing w:val="0"/>
                <w:sz w:val="24"/>
                <w:szCs w:val="24"/>
                <w:lang w:eastAsia="en-GB"/>
              </w:rPr>
              <w:t>2</w:t>
            </w:r>
          </w:p>
        </w:tc>
      </w:tr>
      <w:tr w:rsidR="002252C6" w14:paraId="6AD7D458" w14:textId="77777777" w:rsidTr="000C1CD6">
        <w:trPr>
          <w:trHeight w:val="300"/>
          <w:jc w:val="center"/>
        </w:trPr>
        <w:tc>
          <w:tcPr>
            <w:tcW w:w="4480" w:type="dxa"/>
            <w:vMerge/>
            <w:tcBorders>
              <w:top w:val="single" w:sz="4" w:space="0" w:color="auto"/>
              <w:left w:val="single" w:sz="4" w:space="0" w:color="auto"/>
              <w:bottom w:val="single" w:sz="4" w:space="0" w:color="auto"/>
              <w:right w:val="single" w:sz="4" w:space="0" w:color="auto"/>
            </w:tcBorders>
            <w:vAlign w:val="center"/>
            <w:hideMark/>
          </w:tcPr>
          <w:p w14:paraId="26907E9D" w14:textId="77777777" w:rsidR="000C1CD6" w:rsidRPr="000C1CD6" w:rsidRDefault="000C1CD6" w:rsidP="000C1CD6">
            <w:pPr>
              <w:rPr>
                <w:rFonts w:cs="Arial"/>
                <w:b/>
                <w:bCs/>
                <w:color w:val="000000"/>
                <w:spacing w:val="0"/>
                <w:sz w:val="24"/>
                <w:szCs w:val="24"/>
                <w:lang w:eastAsia="en-GB"/>
              </w:rPr>
            </w:pPr>
          </w:p>
        </w:tc>
        <w:tc>
          <w:tcPr>
            <w:tcW w:w="1252" w:type="dxa"/>
            <w:tcBorders>
              <w:top w:val="nil"/>
              <w:left w:val="nil"/>
              <w:bottom w:val="single" w:sz="4" w:space="0" w:color="auto"/>
              <w:right w:val="single" w:sz="4" w:space="0" w:color="auto"/>
            </w:tcBorders>
            <w:shd w:val="clear" w:color="000000" w:fill="D9D9D9"/>
            <w:noWrap/>
            <w:vAlign w:val="bottom"/>
            <w:hideMark/>
          </w:tcPr>
          <w:p w14:paraId="105602B0" w14:textId="77777777" w:rsidR="000C1CD6" w:rsidRPr="000C1CD6" w:rsidRDefault="00A724BF" w:rsidP="000C1CD6">
            <w:pPr>
              <w:jc w:val="center"/>
              <w:rPr>
                <w:rFonts w:cs="Arial"/>
                <w:color w:val="000000"/>
                <w:spacing w:val="0"/>
                <w:sz w:val="24"/>
                <w:szCs w:val="24"/>
                <w:lang w:eastAsia="en-GB"/>
              </w:rPr>
            </w:pPr>
            <w:r w:rsidRPr="000C1CD6">
              <w:rPr>
                <w:rFonts w:cs="Arial"/>
                <w:color w:val="000000"/>
                <w:spacing w:val="0"/>
                <w:sz w:val="24"/>
                <w:szCs w:val="24"/>
                <w:lang w:eastAsia="en-GB"/>
              </w:rPr>
              <w:t>£000</w:t>
            </w:r>
          </w:p>
        </w:tc>
        <w:tc>
          <w:tcPr>
            <w:tcW w:w="948" w:type="dxa"/>
            <w:tcBorders>
              <w:top w:val="nil"/>
              <w:left w:val="nil"/>
              <w:bottom w:val="single" w:sz="4" w:space="0" w:color="auto"/>
              <w:right w:val="single" w:sz="4" w:space="0" w:color="auto"/>
            </w:tcBorders>
            <w:shd w:val="clear" w:color="000000" w:fill="D9D9D9"/>
            <w:noWrap/>
            <w:vAlign w:val="bottom"/>
            <w:hideMark/>
          </w:tcPr>
          <w:p w14:paraId="4EB1CF83" w14:textId="77777777" w:rsidR="000C1CD6" w:rsidRPr="000C1CD6" w:rsidRDefault="00A724BF" w:rsidP="000C1CD6">
            <w:pPr>
              <w:jc w:val="center"/>
              <w:rPr>
                <w:rFonts w:cs="Arial"/>
                <w:color w:val="000000"/>
                <w:spacing w:val="0"/>
                <w:sz w:val="24"/>
                <w:szCs w:val="24"/>
                <w:lang w:eastAsia="en-GB"/>
              </w:rPr>
            </w:pPr>
            <w:r w:rsidRPr="000C1CD6">
              <w:rPr>
                <w:rFonts w:cs="Arial"/>
                <w:color w:val="000000"/>
                <w:spacing w:val="0"/>
                <w:sz w:val="24"/>
                <w:szCs w:val="24"/>
                <w:lang w:eastAsia="en-GB"/>
              </w:rPr>
              <w:t>%</w:t>
            </w:r>
          </w:p>
        </w:tc>
        <w:tc>
          <w:tcPr>
            <w:tcW w:w="1252" w:type="dxa"/>
            <w:tcBorders>
              <w:top w:val="nil"/>
              <w:left w:val="nil"/>
              <w:bottom w:val="single" w:sz="4" w:space="0" w:color="auto"/>
              <w:right w:val="single" w:sz="4" w:space="0" w:color="auto"/>
            </w:tcBorders>
            <w:shd w:val="clear" w:color="000000" w:fill="D9D9D9"/>
            <w:noWrap/>
            <w:vAlign w:val="bottom"/>
            <w:hideMark/>
          </w:tcPr>
          <w:p w14:paraId="1672A990" w14:textId="77777777" w:rsidR="000C1CD6" w:rsidRPr="000C1CD6" w:rsidRDefault="00A724BF" w:rsidP="000C1CD6">
            <w:pPr>
              <w:jc w:val="center"/>
              <w:rPr>
                <w:rFonts w:cs="Arial"/>
                <w:color w:val="000000"/>
                <w:spacing w:val="0"/>
                <w:sz w:val="24"/>
                <w:szCs w:val="24"/>
                <w:lang w:eastAsia="en-GB"/>
              </w:rPr>
            </w:pPr>
            <w:r w:rsidRPr="000C1CD6">
              <w:rPr>
                <w:rFonts w:cs="Arial"/>
                <w:color w:val="000000"/>
                <w:spacing w:val="0"/>
                <w:sz w:val="24"/>
                <w:szCs w:val="24"/>
                <w:lang w:eastAsia="en-GB"/>
              </w:rPr>
              <w:t>£000</w:t>
            </w:r>
          </w:p>
        </w:tc>
        <w:tc>
          <w:tcPr>
            <w:tcW w:w="948" w:type="dxa"/>
            <w:tcBorders>
              <w:top w:val="nil"/>
              <w:left w:val="nil"/>
              <w:bottom w:val="single" w:sz="4" w:space="0" w:color="auto"/>
              <w:right w:val="single" w:sz="4" w:space="0" w:color="auto"/>
            </w:tcBorders>
            <w:shd w:val="clear" w:color="000000" w:fill="D9D9D9"/>
            <w:noWrap/>
            <w:vAlign w:val="bottom"/>
            <w:hideMark/>
          </w:tcPr>
          <w:p w14:paraId="47DFAC0A" w14:textId="77777777" w:rsidR="000C1CD6" w:rsidRPr="000C1CD6" w:rsidRDefault="00A724BF" w:rsidP="000C1CD6">
            <w:pPr>
              <w:jc w:val="center"/>
              <w:rPr>
                <w:rFonts w:cs="Arial"/>
                <w:color w:val="000000"/>
                <w:spacing w:val="0"/>
                <w:sz w:val="24"/>
                <w:szCs w:val="24"/>
                <w:lang w:eastAsia="en-GB"/>
              </w:rPr>
            </w:pPr>
            <w:r w:rsidRPr="000C1CD6">
              <w:rPr>
                <w:rFonts w:cs="Arial"/>
                <w:color w:val="000000"/>
                <w:spacing w:val="0"/>
                <w:sz w:val="24"/>
                <w:szCs w:val="24"/>
                <w:lang w:eastAsia="en-GB"/>
              </w:rPr>
              <w:t>%</w:t>
            </w:r>
          </w:p>
        </w:tc>
      </w:tr>
      <w:tr w:rsidR="002252C6" w14:paraId="3E0C4998" w14:textId="77777777" w:rsidTr="000C1CD6">
        <w:trPr>
          <w:trHeight w:val="315"/>
          <w:jc w:val="center"/>
        </w:trPr>
        <w:tc>
          <w:tcPr>
            <w:tcW w:w="88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A3691" w14:textId="77777777" w:rsidR="000C1CD6" w:rsidRPr="000C1CD6" w:rsidRDefault="00A724BF" w:rsidP="000C1CD6">
            <w:pPr>
              <w:rPr>
                <w:rFonts w:cs="Arial"/>
                <w:b/>
                <w:bCs/>
                <w:color w:val="000000"/>
                <w:spacing w:val="0"/>
                <w:sz w:val="24"/>
                <w:szCs w:val="24"/>
                <w:lang w:eastAsia="en-GB"/>
              </w:rPr>
            </w:pPr>
            <w:r w:rsidRPr="000C1CD6">
              <w:rPr>
                <w:rFonts w:cs="Arial"/>
                <w:b/>
                <w:bCs/>
                <w:color w:val="000000"/>
                <w:spacing w:val="0"/>
                <w:sz w:val="24"/>
                <w:szCs w:val="24"/>
                <w:lang w:eastAsia="en-GB"/>
              </w:rPr>
              <w:t>Treasury Investments</w:t>
            </w:r>
          </w:p>
        </w:tc>
      </w:tr>
      <w:tr w:rsidR="002252C6" w14:paraId="64DFB3E9" w14:textId="77777777" w:rsidTr="000C1CD6">
        <w:trPr>
          <w:trHeight w:val="300"/>
          <w:jc w:val="center"/>
        </w:trPr>
        <w:tc>
          <w:tcPr>
            <w:tcW w:w="4480" w:type="dxa"/>
            <w:tcBorders>
              <w:top w:val="nil"/>
              <w:left w:val="single" w:sz="4" w:space="0" w:color="auto"/>
              <w:bottom w:val="nil"/>
              <w:right w:val="single" w:sz="4" w:space="0" w:color="auto"/>
            </w:tcBorders>
            <w:shd w:val="clear" w:color="auto" w:fill="auto"/>
            <w:noWrap/>
            <w:vAlign w:val="bottom"/>
            <w:hideMark/>
          </w:tcPr>
          <w:p w14:paraId="78701BDD" w14:textId="77777777" w:rsidR="008E4F20" w:rsidRPr="00380DE4" w:rsidRDefault="00A724BF" w:rsidP="000C1CD6">
            <w:pPr>
              <w:rPr>
                <w:rFonts w:cs="Arial"/>
                <w:spacing w:val="0"/>
                <w:sz w:val="24"/>
                <w:szCs w:val="24"/>
                <w:lang w:eastAsia="en-GB"/>
              </w:rPr>
            </w:pPr>
            <w:r w:rsidRPr="00380DE4">
              <w:rPr>
                <w:rFonts w:cs="Arial"/>
                <w:spacing w:val="0"/>
                <w:sz w:val="24"/>
                <w:szCs w:val="24"/>
                <w:lang w:eastAsia="en-GB"/>
              </w:rPr>
              <w:t>Banks &amp; Building Societies</w:t>
            </w:r>
          </w:p>
        </w:tc>
        <w:tc>
          <w:tcPr>
            <w:tcW w:w="1252" w:type="dxa"/>
            <w:tcBorders>
              <w:top w:val="nil"/>
              <w:left w:val="nil"/>
              <w:bottom w:val="nil"/>
              <w:right w:val="single" w:sz="4" w:space="0" w:color="auto"/>
            </w:tcBorders>
            <w:shd w:val="clear" w:color="auto" w:fill="auto"/>
            <w:noWrap/>
            <w:vAlign w:val="bottom"/>
            <w:hideMark/>
          </w:tcPr>
          <w:p w14:paraId="7FE9F0B5" w14:textId="77777777" w:rsidR="000C1CD6" w:rsidRPr="00380DE4" w:rsidRDefault="00A724BF" w:rsidP="000C1CD6">
            <w:pPr>
              <w:jc w:val="right"/>
              <w:rPr>
                <w:rFonts w:cs="Arial"/>
                <w:spacing w:val="0"/>
                <w:sz w:val="24"/>
                <w:szCs w:val="24"/>
                <w:lang w:eastAsia="en-GB"/>
              </w:rPr>
            </w:pPr>
            <w:r w:rsidRPr="00380DE4">
              <w:rPr>
                <w:rFonts w:cs="Arial"/>
                <w:spacing w:val="0"/>
                <w:sz w:val="24"/>
                <w:szCs w:val="24"/>
                <w:lang w:eastAsia="en-GB"/>
              </w:rPr>
              <w:t>10,000</w:t>
            </w:r>
          </w:p>
        </w:tc>
        <w:tc>
          <w:tcPr>
            <w:tcW w:w="948" w:type="dxa"/>
            <w:tcBorders>
              <w:top w:val="nil"/>
              <w:left w:val="nil"/>
              <w:bottom w:val="nil"/>
              <w:right w:val="single" w:sz="4" w:space="0" w:color="auto"/>
            </w:tcBorders>
            <w:shd w:val="clear" w:color="auto" w:fill="auto"/>
            <w:noWrap/>
            <w:vAlign w:val="bottom"/>
            <w:hideMark/>
          </w:tcPr>
          <w:p w14:paraId="4CC440AC" w14:textId="77777777" w:rsidR="000C1CD6" w:rsidRPr="00380DE4" w:rsidRDefault="00A724BF" w:rsidP="000C1CD6">
            <w:pPr>
              <w:jc w:val="right"/>
              <w:rPr>
                <w:rFonts w:cs="Arial"/>
                <w:spacing w:val="0"/>
                <w:sz w:val="24"/>
                <w:szCs w:val="24"/>
                <w:lang w:eastAsia="en-GB"/>
              </w:rPr>
            </w:pPr>
            <w:r w:rsidRPr="00380DE4">
              <w:rPr>
                <w:rFonts w:cs="Arial"/>
                <w:spacing w:val="0"/>
                <w:sz w:val="24"/>
                <w:szCs w:val="24"/>
                <w:lang w:eastAsia="en-GB"/>
              </w:rPr>
              <w:t>29</w:t>
            </w:r>
            <w:r w:rsidR="00B02E25" w:rsidRPr="00380DE4">
              <w:rPr>
                <w:rFonts w:cs="Arial"/>
                <w:spacing w:val="0"/>
                <w:sz w:val="24"/>
                <w:szCs w:val="24"/>
                <w:lang w:eastAsia="en-GB"/>
              </w:rPr>
              <w:t>%</w:t>
            </w:r>
          </w:p>
        </w:tc>
        <w:tc>
          <w:tcPr>
            <w:tcW w:w="1252" w:type="dxa"/>
            <w:tcBorders>
              <w:top w:val="nil"/>
              <w:left w:val="nil"/>
              <w:bottom w:val="nil"/>
              <w:right w:val="single" w:sz="4" w:space="0" w:color="auto"/>
            </w:tcBorders>
            <w:shd w:val="clear" w:color="auto" w:fill="auto"/>
            <w:noWrap/>
            <w:vAlign w:val="bottom"/>
            <w:hideMark/>
          </w:tcPr>
          <w:p w14:paraId="1FF1D623" w14:textId="77777777" w:rsidR="000C1CD6" w:rsidRPr="00380DE4" w:rsidRDefault="00A724BF" w:rsidP="000C1CD6">
            <w:pPr>
              <w:jc w:val="right"/>
              <w:rPr>
                <w:rFonts w:cs="Arial"/>
                <w:spacing w:val="0"/>
                <w:sz w:val="24"/>
                <w:szCs w:val="24"/>
                <w:lang w:eastAsia="en-GB"/>
              </w:rPr>
            </w:pPr>
            <w:r w:rsidRPr="00380DE4">
              <w:rPr>
                <w:rFonts w:cs="Arial"/>
                <w:spacing w:val="0"/>
                <w:sz w:val="24"/>
                <w:szCs w:val="24"/>
                <w:lang w:eastAsia="en-GB"/>
              </w:rPr>
              <w:t>3</w:t>
            </w:r>
            <w:r w:rsidR="00B02E25" w:rsidRPr="00380DE4">
              <w:rPr>
                <w:rFonts w:cs="Arial"/>
                <w:spacing w:val="0"/>
                <w:sz w:val="24"/>
                <w:szCs w:val="24"/>
                <w:lang w:eastAsia="en-GB"/>
              </w:rPr>
              <w:t>0</w:t>
            </w:r>
            <w:r w:rsidR="005E4B37" w:rsidRPr="00380DE4">
              <w:rPr>
                <w:rFonts w:cs="Arial"/>
                <w:spacing w:val="0"/>
                <w:sz w:val="24"/>
                <w:szCs w:val="24"/>
                <w:lang w:eastAsia="en-GB"/>
              </w:rPr>
              <w:t>,000</w:t>
            </w:r>
          </w:p>
        </w:tc>
        <w:tc>
          <w:tcPr>
            <w:tcW w:w="948" w:type="dxa"/>
            <w:tcBorders>
              <w:top w:val="nil"/>
              <w:left w:val="nil"/>
              <w:bottom w:val="nil"/>
              <w:right w:val="single" w:sz="4" w:space="0" w:color="auto"/>
            </w:tcBorders>
            <w:shd w:val="clear" w:color="auto" w:fill="auto"/>
            <w:noWrap/>
            <w:vAlign w:val="bottom"/>
            <w:hideMark/>
          </w:tcPr>
          <w:p w14:paraId="1BB0B36A" w14:textId="77777777" w:rsidR="000C1CD6" w:rsidRPr="00380DE4" w:rsidRDefault="00A724BF" w:rsidP="000C1CD6">
            <w:pPr>
              <w:jc w:val="right"/>
              <w:rPr>
                <w:rFonts w:cs="Arial"/>
                <w:spacing w:val="0"/>
                <w:sz w:val="24"/>
                <w:szCs w:val="24"/>
                <w:lang w:eastAsia="en-GB"/>
              </w:rPr>
            </w:pPr>
            <w:r w:rsidRPr="00380DE4">
              <w:rPr>
                <w:rFonts w:cs="Arial"/>
                <w:spacing w:val="0"/>
                <w:sz w:val="24"/>
                <w:szCs w:val="24"/>
                <w:lang w:eastAsia="en-GB"/>
              </w:rPr>
              <w:t>81</w:t>
            </w:r>
            <w:r w:rsidR="00B02E25" w:rsidRPr="00380DE4">
              <w:rPr>
                <w:rFonts w:cs="Arial"/>
                <w:spacing w:val="0"/>
                <w:sz w:val="24"/>
                <w:szCs w:val="24"/>
                <w:lang w:eastAsia="en-GB"/>
              </w:rPr>
              <w:t>%</w:t>
            </w:r>
          </w:p>
        </w:tc>
      </w:tr>
      <w:tr w:rsidR="002252C6" w14:paraId="24828637" w14:textId="77777777" w:rsidTr="000C1CD6">
        <w:trPr>
          <w:trHeight w:val="300"/>
          <w:jc w:val="center"/>
        </w:trPr>
        <w:tc>
          <w:tcPr>
            <w:tcW w:w="4480" w:type="dxa"/>
            <w:tcBorders>
              <w:top w:val="nil"/>
              <w:left w:val="single" w:sz="4" w:space="0" w:color="auto"/>
              <w:bottom w:val="nil"/>
              <w:right w:val="single" w:sz="4" w:space="0" w:color="auto"/>
            </w:tcBorders>
            <w:shd w:val="clear" w:color="auto" w:fill="auto"/>
            <w:noWrap/>
            <w:vAlign w:val="bottom"/>
            <w:hideMark/>
          </w:tcPr>
          <w:p w14:paraId="7505D9A4" w14:textId="77777777" w:rsidR="000C1CD6" w:rsidRPr="00380DE4" w:rsidRDefault="00A724BF" w:rsidP="000C1CD6">
            <w:pPr>
              <w:rPr>
                <w:rFonts w:cs="Arial"/>
                <w:spacing w:val="0"/>
                <w:sz w:val="24"/>
                <w:szCs w:val="24"/>
                <w:lang w:eastAsia="en-GB"/>
              </w:rPr>
            </w:pPr>
            <w:r w:rsidRPr="00380DE4">
              <w:rPr>
                <w:rFonts w:cs="Arial"/>
                <w:spacing w:val="0"/>
                <w:sz w:val="24"/>
                <w:szCs w:val="24"/>
                <w:lang w:eastAsia="en-GB"/>
              </w:rPr>
              <w:t>Money Market Funds</w:t>
            </w:r>
          </w:p>
        </w:tc>
        <w:tc>
          <w:tcPr>
            <w:tcW w:w="1252" w:type="dxa"/>
            <w:tcBorders>
              <w:top w:val="nil"/>
              <w:left w:val="nil"/>
              <w:bottom w:val="nil"/>
              <w:right w:val="single" w:sz="4" w:space="0" w:color="auto"/>
            </w:tcBorders>
            <w:shd w:val="clear" w:color="auto" w:fill="auto"/>
            <w:noWrap/>
            <w:vAlign w:val="bottom"/>
            <w:hideMark/>
          </w:tcPr>
          <w:p w14:paraId="7C7B6D46" w14:textId="77777777" w:rsidR="000C1CD6" w:rsidRPr="00380DE4" w:rsidRDefault="00A724BF" w:rsidP="000C1CD6">
            <w:pPr>
              <w:jc w:val="right"/>
              <w:rPr>
                <w:rFonts w:cs="Arial"/>
                <w:spacing w:val="0"/>
                <w:sz w:val="24"/>
                <w:szCs w:val="24"/>
                <w:lang w:eastAsia="en-GB"/>
              </w:rPr>
            </w:pPr>
            <w:r w:rsidRPr="00380DE4">
              <w:rPr>
                <w:rFonts w:cs="Arial"/>
                <w:spacing w:val="0"/>
                <w:sz w:val="24"/>
                <w:szCs w:val="24"/>
                <w:lang w:eastAsia="en-GB"/>
              </w:rPr>
              <w:t>25,000</w:t>
            </w:r>
          </w:p>
        </w:tc>
        <w:tc>
          <w:tcPr>
            <w:tcW w:w="948" w:type="dxa"/>
            <w:tcBorders>
              <w:top w:val="nil"/>
              <w:left w:val="nil"/>
              <w:bottom w:val="nil"/>
              <w:right w:val="single" w:sz="4" w:space="0" w:color="auto"/>
            </w:tcBorders>
            <w:shd w:val="clear" w:color="auto" w:fill="auto"/>
            <w:noWrap/>
            <w:vAlign w:val="bottom"/>
            <w:hideMark/>
          </w:tcPr>
          <w:p w14:paraId="261C0AA5" w14:textId="77777777" w:rsidR="000C1CD6" w:rsidRPr="00380DE4" w:rsidRDefault="00A724BF" w:rsidP="000C1CD6">
            <w:pPr>
              <w:jc w:val="right"/>
              <w:rPr>
                <w:rFonts w:cs="Arial"/>
                <w:spacing w:val="0"/>
                <w:sz w:val="24"/>
                <w:szCs w:val="24"/>
                <w:lang w:eastAsia="en-GB"/>
              </w:rPr>
            </w:pPr>
            <w:r w:rsidRPr="00380DE4">
              <w:rPr>
                <w:rFonts w:cs="Arial"/>
                <w:spacing w:val="0"/>
                <w:sz w:val="24"/>
                <w:szCs w:val="24"/>
                <w:lang w:eastAsia="en-GB"/>
              </w:rPr>
              <w:t>71</w:t>
            </w:r>
            <w:r w:rsidR="00B02E25" w:rsidRPr="00380DE4">
              <w:rPr>
                <w:rFonts w:cs="Arial"/>
                <w:spacing w:val="0"/>
                <w:sz w:val="24"/>
                <w:szCs w:val="24"/>
                <w:lang w:eastAsia="en-GB"/>
              </w:rPr>
              <w:t>%</w:t>
            </w:r>
          </w:p>
        </w:tc>
        <w:tc>
          <w:tcPr>
            <w:tcW w:w="1252" w:type="dxa"/>
            <w:tcBorders>
              <w:top w:val="nil"/>
              <w:left w:val="nil"/>
              <w:bottom w:val="nil"/>
              <w:right w:val="single" w:sz="4" w:space="0" w:color="auto"/>
            </w:tcBorders>
            <w:shd w:val="clear" w:color="auto" w:fill="auto"/>
            <w:noWrap/>
            <w:vAlign w:val="bottom"/>
            <w:hideMark/>
          </w:tcPr>
          <w:p w14:paraId="1CD12B4B" w14:textId="77777777" w:rsidR="000C1CD6" w:rsidRPr="00380DE4" w:rsidRDefault="00A724BF" w:rsidP="000C1CD6">
            <w:pPr>
              <w:jc w:val="right"/>
              <w:rPr>
                <w:rFonts w:cs="Arial"/>
                <w:spacing w:val="0"/>
                <w:sz w:val="24"/>
                <w:szCs w:val="24"/>
                <w:lang w:eastAsia="en-GB"/>
              </w:rPr>
            </w:pPr>
            <w:r w:rsidRPr="00380DE4">
              <w:rPr>
                <w:rFonts w:cs="Arial"/>
                <w:spacing w:val="0"/>
                <w:sz w:val="24"/>
                <w:szCs w:val="24"/>
                <w:lang w:eastAsia="en-GB"/>
              </w:rPr>
              <w:t>7</w:t>
            </w:r>
            <w:r w:rsidR="00B02E25" w:rsidRPr="00380DE4">
              <w:rPr>
                <w:rFonts w:cs="Arial"/>
                <w:spacing w:val="0"/>
                <w:sz w:val="24"/>
                <w:szCs w:val="24"/>
                <w:lang w:eastAsia="en-GB"/>
              </w:rPr>
              <w:t>,</w:t>
            </w:r>
            <w:r w:rsidRPr="00380DE4">
              <w:rPr>
                <w:rFonts w:cs="Arial"/>
                <w:spacing w:val="0"/>
                <w:sz w:val="24"/>
                <w:szCs w:val="24"/>
                <w:lang w:eastAsia="en-GB"/>
              </w:rPr>
              <w:t>2</w:t>
            </w:r>
            <w:r w:rsidR="00B02E25" w:rsidRPr="00380DE4">
              <w:rPr>
                <w:rFonts w:cs="Arial"/>
                <w:spacing w:val="0"/>
                <w:sz w:val="24"/>
                <w:szCs w:val="24"/>
                <w:lang w:eastAsia="en-GB"/>
              </w:rPr>
              <w:t>00</w:t>
            </w:r>
          </w:p>
        </w:tc>
        <w:tc>
          <w:tcPr>
            <w:tcW w:w="948" w:type="dxa"/>
            <w:tcBorders>
              <w:top w:val="nil"/>
              <w:left w:val="nil"/>
              <w:bottom w:val="nil"/>
              <w:right w:val="single" w:sz="4" w:space="0" w:color="auto"/>
            </w:tcBorders>
            <w:shd w:val="clear" w:color="auto" w:fill="auto"/>
            <w:noWrap/>
            <w:vAlign w:val="bottom"/>
            <w:hideMark/>
          </w:tcPr>
          <w:p w14:paraId="1F769D70" w14:textId="77777777" w:rsidR="000C1CD6" w:rsidRPr="00380DE4" w:rsidRDefault="00A724BF" w:rsidP="000C1CD6">
            <w:pPr>
              <w:jc w:val="right"/>
              <w:rPr>
                <w:rFonts w:cs="Arial"/>
                <w:spacing w:val="0"/>
                <w:sz w:val="24"/>
                <w:szCs w:val="24"/>
                <w:lang w:eastAsia="en-GB"/>
              </w:rPr>
            </w:pPr>
            <w:r w:rsidRPr="00380DE4">
              <w:rPr>
                <w:rFonts w:cs="Arial"/>
                <w:spacing w:val="0"/>
                <w:sz w:val="24"/>
                <w:szCs w:val="24"/>
                <w:lang w:eastAsia="en-GB"/>
              </w:rPr>
              <w:t>19</w:t>
            </w:r>
            <w:r w:rsidR="00B02E25" w:rsidRPr="00380DE4">
              <w:rPr>
                <w:rFonts w:cs="Arial"/>
                <w:spacing w:val="0"/>
                <w:sz w:val="24"/>
                <w:szCs w:val="24"/>
                <w:lang w:eastAsia="en-GB"/>
              </w:rPr>
              <w:t>%</w:t>
            </w:r>
          </w:p>
        </w:tc>
      </w:tr>
      <w:tr w:rsidR="002252C6" w14:paraId="2ABB8B75" w14:textId="77777777" w:rsidTr="000C1CD6">
        <w:trPr>
          <w:trHeight w:val="315"/>
          <w:jc w:val="center"/>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3AC1F" w14:textId="77777777" w:rsidR="000C1CD6" w:rsidRPr="00380DE4" w:rsidRDefault="00A724BF" w:rsidP="000C1CD6">
            <w:pPr>
              <w:rPr>
                <w:rFonts w:cs="Arial"/>
                <w:b/>
                <w:bCs/>
                <w:spacing w:val="0"/>
                <w:sz w:val="24"/>
                <w:szCs w:val="24"/>
                <w:lang w:eastAsia="en-GB"/>
              </w:rPr>
            </w:pPr>
            <w:r w:rsidRPr="00380DE4">
              <w:rPr>
                <w:rFonts w:cs="Arial"/>
                <w:b/>
                <w:bCs/>
                <w:spacing w:val="0"/>
                <w:sz w:val="24"/>
                <w:szCs w:val="24"/>
                <w:lang w:eastAsia="en-GB"/>
              </w:rPr>
              <w:t xml:space="preserve">Total Managed </w:t>
            </w:r>
            <w:proofErr w:type="gramStart"/>
            <w:r w:rsidRPr="00380DE4">
              <w:rPr>
                <w:rFonts w:cs="Arial"/>
                <w:b/>
                <w:bCs/>
                <w:spacing w:val="0"/>
                <w:sz w:val="24"/>
                <w:szCs w:val="24"/>
                <w:lang w:eastAsia="en-GB"/>
              </w:rPr>
              <w:t>In</w:t>
            </w:r>
            <w:proofErr w:type="gramEnd"/>
            <w:r w:rsidRPr="00380DE4">
              <w:rPr>
                <w:rFonts w:cs="Arial"/>
                <w:b/>
                <w:bCs/>
                <w:spacing w:val="0"/>
                <w:sz w:val="24"/>
                <w:szCs w:val="24"/>
                <w:lang w:eastAsia="en-GB"/>
              </w:rPr>
              <w:t xml:space="preserve"> House</w:t>
            </w:r>
          </w:p>
        </w:tc>
        <w:tc>
          <w:tcPr>
            <w:tcW w:w="1252" w:type="dxa"/>
            <w:tcBorders>
              <w:top w:val="single" w:sz="4" w:space="0" w:color="auto"/>
              <w:left w:val="nil"/>
              <w:bottom w:val="single" w:sz="4" w:space="0" w:color="auto"/>
              <w:right w:val="single" w:sz="4" w:space="0" w:color="auto"/>
            </w:tcBorders>
            <w:shd w:val="clear" w:color="auto" w:fill="auto"/>
            <w:noWrap/>
            <w:vAlign w:val="bottom"/>
            <w:hideMark/>
          </w:tcPr>
          <w:p w14:paraId="10CEE753" w14:textId="77777777" w:rsidR="000C1CD6" w:rsidRPr="00380DE4" w:rsidRDefault="00A724BF" w:rsidP="000C1CD6">
            <w:pPr>
              <w:jc w:val="right"/>
              <w:rPr>
                <w:rFonts w:cs="Arial"/>
                <w:b/>
                <w:bCs/>
                <w:spacing w:val="0"/>
                <w:sz w:val="24"/>
                <w:szCs w:val="24"/>
                <w:lang w:eastAsia="en-GB"/>
              </w:rPr>
            </w:pPr>
            <w:r w:rsidRPr="00380DE4">
              <w:rPr>
                <w:rFonts w:cs="Arial"/>
                <w:b/>
                <w:bCs/>
                <w:spacing w:val="0"/>
                <w:sz w:val="24"/>
                <w:szCs w:val="24"/>
                <w:lang w:eastAsia="en-GB"/>
              </w:rPr>
              <w:t>35,000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14:paraId="6C8D0842" w14:textId="77777777" w:rsidR="000C1CD6" w:rsidRPr="00380DE4" w:rsidRDefault="00A724BF" w:rsidP="000C1CD6">
            <w:pPr>
              <w:jc w:val="right"/>
              <w:rPr>
                <w:rFonts w:cs="Arial"/>
                <w:b/>
                <w:bCs/>
                <w:spacing w:val="0"/>
                <w:sz w:val="24"/>
                <w:szCs w:val="24"/>
                <w:lang w:eastAsia="en-GB"/>
              </w:rPr>
            </w:pPr>
            <w:r w:rsidRPr="00380DE4">
              <w:rPr>
                <w:rFonts w:cs="Arial"/>
                <w:b/>
                <w:bCs/>
                <w:spacing w:val="0"/>
                <w:sz w:val="24"/>
                <w:szCs w:val="24"/>
                <w:lang w:eastAsia="en-GB"/>
              </w:rPr>
              <w:t>100%</w:t>
            </w:r>
          </w:p>
        </w:tc>
        <w:tc>
          <w:tcPr>
            <w:tcW w:w="1252" w:type="dxa"/>
            <w:tcBorders>
              <w:top w:val="single" w:sz="4" w:space="0" w:color="auto"/>
              <w:left w:val="nil"/>
              <w:bottom w:val="single" w:sz="4" w:space="0" w:color="auto"/>
              <w:right w:val="single" w:sz="4" w:space="0" w:color="auto"/>
            </w:tcBorders>
            <w:shd w:val="clear" w:color="auto" w:fill="auto"/>
            <w:noWrap/>
            <w:vAlign w:val="bottom"/>
            <w:hideMark/>
          </w:tcPr>
          <w:p w14:paraId="7982B326" w14:textId="77777777" w:rsidR="000C1CD6" w:rsidRPr="00380DE4" w:rsidRDefault="00A724BF" w:rsidP="000C1CD6">
            <w:pPr>
              <w:jc w:val="right"/>
              <w:rPr>
                <w:rFonts w:cs="Arial"/>
                <w:b/>
                <w:bCs/>
                <w:spacing w:val="0"/>
                <w:sz w:val="24"/>
                <w:szCs w:val="24"/>
                <w:lang w:eastAsia="en-GB"/>
              </w:rPr>
            </w:pPr>
            <w:r w:rsidRPr="00380DE4">
              <w:rPr>
                <w:rFonts w:cs="Arial"/>
                <w:b/>
                <w:bCs/>
                <w:spacing w:val="0"/>
                <w:sz w:val="24"/>
                <w:szCs w:val="24"/>
                <w:lang w:eastAsia="en-GB"/>
              </w:rPr>
              <w:t>3</w:t>
            </w:r>
            <w:r w:rsidR="00154CFA" w:rsidRPr="00380DE4">
              <w:rPr>
                <w:rFonts w:cs="Arial"/>
                <w:b/>
                <w:bCs/>
                <w:spacing w:val="0"/>
                <w:sz w:val="24"/>
                <w:szCs w:val="24"/>
                <w:lang w:eastAsia="en-GB"/>
              </w:rPr>
              <w:t>7</w:t>
            </w:r>
            <w:r w:rsidR="00B02E25" w:rsidRPr="00380DE4">
              <w:rPr>
                <w:rFonts w:cs="Arial"/>
                <w:b/>
                <w:bCs/>
                <w:spacing w:val="0"/>
                <w:sz w:val="24"/>
                <w:szCs w:val="24"/>
                <w:lang w:eastAsia="en-GB"/>
              </w:rPr>
              <w:t>,</w:t>
            </w:r>
            <w:r w:rsidR="00154CFA" w:rsidRPr="00380DE4">
              <w:rPr>
                <w:rFonts w:cs="Arial"/>
                <w:b/>
                <w:bCs/>
                <w:spacing w:val="0"/>
                <w:sz w:val="24"/>
                <w:szCs w:val="24"/>
                <w:lang w:eastAsia="en-GB"/>
              </w:rPr>
              <w:t>2</w:t>
            </w:r>
            <w:r w:rsidR="00B02E25" w:rsidRPr="00380DE4">
              <w:rPr>
                <w:rFonts w:cs="Arial"/>
                <w:b/>
                <w:bCs/>
                <w:spacing w:val="0"/>
                <w:sz w:val="24"/>
                <w:szCs w:val="24"/>
                <w:lang w:eastAsia="en-GB"/>
              </w:rPr>
              <w:t>00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14:paraId="261FBDA8" w14:textId="77777777" w:rsidR="000C1CD6" w:rsidRPr="00380DE4" w:rsidRDefault="00A724BF" w:rsidP="000C1CD6">
            <w:pPr>
              <w:jc w:val="right"/>
              <w:rPr>
                <w:rFonts w:cs="Arial"/>
                <w:b/>
                <w:bCs/>
                <w:spacing w:val="0"/>
                <w:sz w:val="24"/>
                <w:szCs w:val="24"/>
                <w:lang w:eastAsia="en-GB"/>
              </w:rPr>
            </w:pPr>
            <w:r w:rsidRPr="00380DE4">
              <w:rPr>
                <w:rFonts w:cs="Arial"/>
                <w:b/>
                <w:bCs/>
                <w:spacing w:val="0"/>
                <w:sz w:val="24"/>
                <w:szCs w:val="24"/>
                <w:lang w:eastAsia="en-GB"/>
              </w:rPr>
              <w:t>100%</w:t>
            </w:r>
          </w:p>
        </w:tc>
      </w:tr>
      <w:tr w:rsidR="002252C6" w14:paraId="43D4A9E7" w14:textId="77777777" w:rsidTr="000C1CD6">
        <w:trPr>
          <w:trHeight w:val="300"/>
          <w:jc w:val="center"/>
        </w:trPr>
        <w:tc>
          <w:tcPr>
            <w:tcW w:w="4480" w:type="dxa"/>
            <w:tcBorders>
              <w:top w:val="nil"/>
              <w:left w:val="single" w:sz="4" w:space="0" w:color="auto"/>
              <w:bottom w:val="nil"/>
              <w:right w:val="single" w:sz="4" w:space="0" w:color="auto"/>
            </w:tcBorders>
            <w:shd w:val="clear" w:color="auto" w:fill="auto"/>
            <w:noWrap/>
            <w:vAlign w:val="bottom"/>
            <w:hideMark/>
          </w:tcPr>
          <w:p w14:paraId="77E1CE88" w14:textId="77777777" w:rsidR="000C1CD6" w:rsidRPr="00380DE4" w:rsidRDefault="00A724BF" w:rsidP="000C1CD6">
            <w:pPr>
              <w:rPr>
                <w:rFonts w:cs="Arial"/>
                <w:spacing w:val="0"/>
                <w:sz w:val="24"/>
                <w:szCs w:val="24"/>
                <w:lang w:eastAsia="en-GB"/>
              </w:rPr>
            </w:pPr>
            <w:r w:rsidRPr="00380DE4">
              <w:rPr>
                <w:rFonts w:cs="Arial"/>
                <w:spacing w:val="0"/>
                <w:sz w:val="24"/>
                <w:szCs w:val="24"/>
                <w:lang w:eastAsia="en-GB"/>
              </w:rPr>
              <w:t>Aberdeen Asset Management Fund</w:t>
            </w:r>
          </w:p>
        </w:tc>
        <w:tc>
          <w:tcPr>
            <w:tcW w:w="1252" w:type="dxa"/>
            <w:tcBorders>
              <w:top w:val="nil"/>
              <w:left w:val="nil"/>
              <w:bottom w:val="nil"/>
              <w:right w:val="single" w:sz="4" w:space="0" w:color="auto"/>
            </w:tcBorders>
            <w:shd w:val="clear" w:color="auto" w:fill="auto"/>
            <w:noWrap/>
            <w:vAlign w:val="bottom"/>
            <w:hideMark/>
          </w:tcPr>
          <w:p w14:paraId="2CBD3F1A" w14:textId="77777777" w:rsidR="000C1CD6" w:rsidRPr="00380DE4" w:rsidRDefault="00A724BF" w:rsidP="000C1CD6">
            <w:pPr>
              <w:jc w:val="right"/>
              <w:rPr>
                <w:rFonts w:cs="Arial"/>
                <w:spacing w:val="0"/>
                <w:sz w:val="24"/>
                <w:szCs w:val="24"/>
                <w:lang w:eastAsia="en-GB"/>
              </w:rPr>
            </w:pPr>
            <w:r w:rsidRPr="00380DE4">
              <w:rPr>
                <w:rFonts w:cs="Arial"/>
                <w:spacing w:val="0"/>
                <w:sz w:val="24"/>
                <w:szCs w:val="24"/>
                <w:lang w:eastAsia="en-GB"/>
              </w:rPr>
              <w:t>0</w:t>
            </w:r>
          </w:p>
        </w:tc>
        <w:tc>
          <w:tcPr>
            <w:tcW w:w="948" w:type="dxa"/>
            <w:tcBorders>
              <w:top w:val="nil"/>
              <w:left w:val="nil"/>
              <w:bottom w:val="nil"/>
              <w:right w:val="single" w:sz="4" w:space="0" w:color="auto"/>
            </w:tcBorders>
            <w:shd w:val="clear" w:color="auto" w:fill="auto"/>
            <w:noWrap/>
            <w:vAlign w:val="bottom"/>
            <w:hideMark/>
          </w:tcPr>
          <w:p w14:paraId="732AA07C" w14:textId="77777777" w:rsidR="000C1CD6" w:rsidRPr="00380DE4" w:rsidRDefault="00A724BF" w:rsidP="000C1CD6">
            <w:pPr>
              <w:jc w:val="right"/>
              <w:rPr>
                <w:rFonts w:cs="Arial"/>
                <w:spacing w:val="0"/>
                <w:sz w:val="24"/>
                <w:szCs w:val="24"/>
                <w:lang w:eastAsia="en-GB"/>
              </w:rPr>
            </w:pPr>
            <w:r w:rsidRPr="00380DE4">
              <w:rPr>
                <w:rFonts w:cs="Arial"/>
                <w:spacing w:val="0"/>
                <w:sz w:val="24"/>
                <w:szCs w:val="24"/>
                <w:lang w:eastAsia="en-GB"/>
              </w:rPr>
              <w:t>0%</w:t>
            </w:r>
          </w:p>
        </w:tc>
        <w:tc>
          <w:tcPr>
            <w:tcW w:w="1252" w:type="dxa"/>
            <w:tcBorders>
              <w:top w:val="nil"/>
              <w:left w:val="nil"/>
              <w:bottom w:val="nil"/>
              <w:right w:val="single" w:sz="4" w:space="0" w:color="auto"/>
            </w:tcBorders>
            <w:shd w:val="clear" w:color="auto" w:fill="auto"/>
            <w:noWrap/>
            <w:vAlign w:val="bottom"/>
            <w:hideMark/>
          </w:tcPr>
          <w:p w14:paraId="455B9F4C" w14:textId="77777777" w:rsidR="000C1CD6" w:rsidRPr="00380DE4" w:rsidRDefault="00A724BF" w:rsidP="000C1CD6">
            <w:pPr>
              <w:jc w:val="right"/>
              <w:rPr>
                <w:rFonts w:cs="Arial"/>
                <w:spacing w:val="0"/>
                <w:sz w:val="24"/>
                <w:szCs w:val="24"/>
                <w:lang w:eastAsia="en-GB"/>
              </w:rPr>
            </w:pPr>
            <w:r w:rsidRPr="00380DE4">
              <w:rPr>
                <w:rFonts w:cs="Arial"/>
                <w:spacing w:val="0"/>
                <w:sz w:val="24"/>
                <w:szCs w:val="24"/>
                <w:lang w:eastAsia="en-GB"/>
              </w:rPr>
              <w:t>0</w:t>
            </w:r>
          </w:p>
        </w:tc>
        <w:tc>
          <w:tcPr>
            <w:tcW w:w="948" w:type="dxa"/>
            <w:tcBorders>
              <w:top w:val="nil"/>
              <w:left w:val="nil"/>
              <w:bottom w:val="nil"/>
              <w:right w:val="single" w:sz="4" w:space="0" w:color="auto"/>
            </w:tcBorders>
            <w:shd w:val="clear" w:color="auto" w:fill="auto"/>
            <w:noWrap/>
            <w:vAlign w:val="bottom"/>
            <w:hideMark/>
          </w:tcPr>
          <w:p w14:paraId="66FAEFF6" w14:textId="77777777" w:rsidR="000C1CD6" w:rsidRPr="00380DE4" w:rsidRDefault="00A724BF" w:rsidP="000C1CD6">
            <w:pPr>
              <w:jc w:val="right"/>
              <w:rPr>
                <w:rFonts w:cs="Arial"/>
                <w:spacing w:val="0"/>
                <w:sz w:val="24"/>
                <w:szCs w:val="24"/>
                <w:lang w:eastAsia="en-GB"/>
              </w:rPr>
            </w:pPr>
            <w:r w:rsidRPr="00380DE4">
              <w:rPr>
                <w:rFonts w:cs="Arial"/>
                <w:spacing w:val="0"/>
                <w:sz w:val="24"/>
                <w:szCs w:val="24"/>
                <w:lang w:eastAsia="en-GB"/>
              </w:rPr>
              <w:t>0%</w:t>
            </w:r>
          </w:p>
        </w:tc>
      </w:tr>
      <w:tr w:rsidR="002252C6" w14:paraId="64B218C1" w14:textId="77777777" w:rsidTr="000C1CD6">
        <w:trPr>
          <w:trHeight w:val="315"/>
          <w:jc w:val="center"/>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E38" w14:textId="77777777" w:rsidR="000C1CD6" w:rsidRPr="00380DE4" w:rsidRDefault="00A724BF" w:rsidP="000C1CD6">
            <w:pPr>
              <w:rPr>
                <w:rFonts w:cs="Arial"/>
                <w:b/>
                <w:bCs/>
                <w:spacing w:val="0"/>
                <w:sz w:val="24"/>
                <w:szCs w:val="24"/>
                <w:lang w:eastAsia="en-GB"/>
              </w:rPr>
            </w:pPr>
            <w:r w:rsidRPr="00380DE4">
              <w:rPr>
                <w:rFonts w:cs="Arial"/>
                <w:b/>
                <w:bCs/>
                <w:spacing w:val="0"/>
                <w:sz w:val="24"/>
                <w:szCs w:val="24"/>
                <w:lang w:eastAsia="en-GB"/>
              </w:rPr>
              <w:t>Total Managed Externally</w:t>
            </w:r>
          </w:p>
        </w:tc>
        <w:tc>
          <w:tcPr>
            <w:tcW w:w="1252" w:type="dxa"/>
            <w:tcBorders>
              <w:top w:val="single" w:sz="4" w:space="0" w:color="auto"/>
              <w:left w:val="nil"/>
              <w:bottom w:val="single" w:sz="4" w:space="0" w:color="auto"/>
              <w:right w:val="single" w:sz="4" w:space="0" w:color="auto"/>
            </w:tcBorders>
            <w:shd w:val="clear" w:color="auto" w:fill="auto"/>
            <w:noWrap/>
            <w:vAlign w:val="bottom"/>
            <w:hideMark/>
          </w:tcPr>
          <w:p w14:paraId="5EA2293C" w14:textId="77777777" w:rsidR="000C1CD6" w:rsidRPr="00380DE4" w:rsidRDefault="00A724BF" w:rsidP="000C1CD6">
            <w:pPr>
              <w:jc w:val="right"/>
              <w:rPr>
                <w:rFonts w:cs="Arial"/>
                <w:b/>
                <w:bCs/>
                <w:spacing w:val="0"/>
                <w:sz w:val="24"/>
                <w:szCs w:val="24"/>
                <w:lang w:eastAsia="en-GB"/>
              </w:rPr>
            </w:pPr>
            <w:r w:rsidRPr="00380DE4">
              <w:rPr>
                <w:rFonts w:cs="Arial"/>
                <w:b/>
                <w:bCs/>
                <w:spacing w:val="0"/>
                <w:sz w:val="24"/>
                <w:szCs w:val="24"/>
                <w:lang w:eastAsia="en-GB"/>
              </w:rPr>
              <w:t>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14:paraId="0E14DC69" w14:textId="77777777" w:rsidR="000C1CD6" w:rsidRPr="00380DE4" w:rsidRDefault="00A724BF" w:rsidP="000C1CD6">
            <w:pPr>
              <w:jc w:val="right"/>
              <w:rPr>
                <w:rFonts w:cs="Arial"/>
                <w:b/>
                <w:bCs/>
                <w:spacing w:val="0"/>
                <w:sz w:val="24"/>
                <w:szCs w:val="24"/>
                <w:lang w:eastAsia="en-GB"/>
              </w:rPr>
            </w:pPr>
            <w:r w:rsidRPr="00380DE4">
              <w:rPr>
                <w:rFonts w:cs="Arial"/>
                <w:b/>
                <w:bCs/>
                <w:spacing w:val="0"/>
                <w:sz w:val="24"/>
                <w:szCs w:val="24"/>
                <w:lang w:eastAsia="en-GB"/>
              </w:rPr>
              <w:t>0%</w:t>
            </w:r>
          </w:p>
        </w:tc>
        <w:tc>
          <w:tcPr>
            <w:tcW w:w="1252" w:type="dxa"/>
            <w:tcBorders>
              <w:top w:val="single" w:sz="4" w:space="0" w:color="auto"/>
              <w:left w:val="nil"/>
              <w:bottom w:val="single" w:sz="4" w:space="0" w:color="auto"/>
              <w:right w:val="single" w:sz="4" w:space="0" w:color="auto"/>
            </w:tcBorders>
            <w:shd w:val="clear" w:color="auto" w:fill="auto"/>
            <w:noWrap/>
            <w:vAlign w:val="bottom"/>
            <w:hideMark/>
          </w:tcPr>
          <w:p w14:paraId="5158540D" w14:textId="77777777" w:rsidR="000C1CD6" w:rsidRPr="00380DE4" w:rsidRDefault="00A724BF" w:rsidP="000C1CD6">
            <w:pPr>
              <w:jc w:val="right"/>
              <w:rPr>
                <w:rFonts w:cs="Arial"/>
                <w:b/>
                <w:bCs/>
                <w:spacing w:val="0"/>
                <w:sz w:val="24"/>
                <w:szCs w:val="24"/>
                <w:lang w:eastAsia="en-GB"/>
              </w:rPr>
            </w:pPr>
            <w:r w:rsidRPr="00380DE4">
              <w:rPr>
                <w:rFonts w:cs="Arial"/>
                <w:b/>
                <w:bCs/>
                <w:spacing w:val="0"/>
                <w:sz w:val="24"/>
                <w:szCs w:val="24"/>
                <w:lang w:eastAsia="en-GB"/>
              </w:rPr>
              <w:t>0</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14:paraId="449D617F" w14:textId="77777777" w:rsidR="000C1CD6" w:rsidRPr="00380DE4" w:rsidRDefault="00A724BF" w:rsidP="000C1CD6">
            <w:pPr>
              <w:jc w:val="right"/>
              <w:rPr>
                <w:rFonts w:cs="Arial"/>
                <w:b/>
                <w:bCs/>
                <w:spacing w:val="0"/>
                <w:sz w:val="24"/>
                <w:szCs w:val="24"/>
                <w:lang w:eastAsia="en-GB"/>
              </w:rPr>
            </w:pPr>
            <w:r w:rsidRPr="00380DE4">
              <w:rPr>
                <w:rFonts w:cs="Arial"/>
                <w:b/>
                <w:bCs/>
                <w:spacing w:val="0"/>
                <w:sz w:val="24"/>
                <w:szCs w:val="24"/>
                <w:lang w:eastAsia="en-GB"/>
              </w:rPr>
              <w:t>0%</w:t>
            </w:r>
          </w:p>
        </w:tc>
      </w:tr>
      <w:tr w:rsidR="002252C6" w14:paraId="228AE1D8" w14:textId="77777777" w:rsidTr="000C1CD6">
        <w:trPr>
          <w:trHeight w:val="780"/>
          <w:jc w:val="center"/>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1F6C993A" w14:textId="77777777" w:rsidR="000C1CD6" w:rsidRPr="00380DE4" w:rsidRDefault="00A724BF" w:rsidP="000C1CD6">
            <w:pPr>
              <w:rPr>
                <w:rFonts w:cs="Arial"/>
                <w:b/>
                <w:bCs/>
                <w:spacing w:val="0"/>
                <w:sz w:val="24"/>
                <w:szCs w:val="24"/>
                <w:lang w:eastAsia="en-GB"/>
              </w:rPr>
            </w:pPr>
            <w:r w:rsidRPr="00380DE4">
              <w:rPr>
                <w:rFonts w:cs="Arial"/>
                <w:b/>
                <w:bCs/>
                <w:spacing w:val="0"/>
                <w:sz w:val="24"/>
                <w:szCs w:val="24"/>
                <w:lang w:eastAsia="en-GB"/>
              </w:rPr>
              <w:t>Total Treasury Investments</w:t>
            </w:r>
          </w:p>
        </w:tc>
        <w:tc>
          <w:tcPr>
            <w:tcW w:w="1252" w:type="dxa"/>
            <w:tcBorders>
              <w:top w:val="nil"/>
              <w:left w:val="nil"/>
              <w:bottom w:val="single" w:sz="4" w:space="0" w:color="auto"/>
              <w:right w:val="single" w:sz="4" w:space="0" w:color="auto"/>
            </w:tcBorders>
            <w:shd w:val="clear" w:color="auto" w:fill="auto"/>
            <w:noWrap/>
            <w:vAlign w:val="bottom"/>
            <w:hideMark/>
          </w:tcPr>
          <w:p w14:paraId="243F1C3D" w14:textId="77777777" w:rsidR="000C1CD6" w:rsidRPr="00380DE4" w:rsidRDefault="00A724BF" w:rsidP="000C1CD6">
            <w:pPr>
              <w:jc w:val="right"/>
              <w:rPr>
                <w:rFonts w:cs="Arial"/>
                <w:b/>
                <w:bCs/>
                <w:spacing w:val="0"/>
                <w:sz w:val="24"/>
                <w:szCs w:val="24"/>
                <w:lang w:eastAsia="en-GB"/>
              </w:rPr>
            </w:pPr>
            <w:r w:rsidRPr="00380DE4">
              <w:rPr>
                <w:rFonts w:cs="Arial"/>
                <w:b/>
                <w:bCs/>
                <w:spacing w:val="0"/>
                <w:sz w:val="24"/>
                <w:szCs w:val="24"/>
                <w:lang w:eastAsia="en-GB"/>
              </w:rPr>
              <w:t>35,000</w:t>
            </w:r>
          </w:p>
        </w:tc>
        <w:tc>
          <w:tcPr>
            <w:tcW w:w="948" w:type="dxa"/>
            <w:tcBorders>
              <w:top w:val="nil"/>
              <w:left w:val="nil"/>
              <w:bottom w:val="single" w:sz="4" w:space="0" w:color="auto"/>
              <w:right w:val="single" w:sz="4" w:space="0" w:color="auto"/>
            </w:tcBorders>
            <w:shd w:val="clear" w:color="auto" w:fill="auto"/>
            <w:noWrap/>
            <w:vAlign w:val="bottom"/>
            <w:hideMark/>
          </w:tcPr>
          <w:p w14:paraId="242B25A8" w14:textId="77777777" w:rsidR="000C1CD6" w:rsidRPr="00380DE4" w:rsidRDefault="00A724BF" w:rsidP="000C1CD6">
            <w:pPr>
              <w:jc w:val="right"/>
              <w:rPr>
                <w:rFonts w:cs="Arial"/>
                <w:b/>
                <w:bCs/>
                <w:spacing w:val="0"/>
                <w:sz w:val="24"/>
                <w:szCs w:val="24"/>
                <w:lang w:eastAsia="en-GB"/>
              </w:rPr>
            </w:pPr>
            <w:r w:rsidRPr="00380DE4">
              <w:rPr>
                <w:rFonts w:cs="Arial"/>
                <w:b/>
                <w:bCs/>
                <w:spacing w:val="0"/>
                <w:sz w:val="24"/>
                <w:szCs w:val="24"/>
                <w:lang w:eastAsia="en-GB"/>
              </w:rPr>
              <w:t>100%</w:t>
            </w:r>
          </w:p>
        </w:tc>
        <w:tc>
          <w:tcPr>
            <w:tcW w:w="1252" w:type="dxa"/>
            <w:tcBorders>
              <w:top w:val="nil"/>
              <w:left w:val="nil"/>
              <w:bottom w:val="single" w:sz="4" w:space="0" w:color="auto"/>
              <w:right w:val="single" w:sz="4" w:space="0" w:color="auto"/>
            </w:tcBorders>
            <w:shd w:val="clear" w:color="auto" w:fill="auto"/>
            <w:noWrap/>
            <w:vAlign w:val="bottom"/>
            <w:hideMark/>
          </w:tcPr>
          <w:p w14:paraId="26505B2D" w14:textId="77777777" w:rsidR="000C1CD6" w:rsidRPr="00380DE4" w:rsidRDefault="00A724BF" w:rsidP="000C1CD6">
            <w:pPr>
              <w:jc w:val="right"/>
              <w:rPr>
                <w:rFonts w:cs="Arial"/>
                <w:b/>
                <w:bCs/>
                <w:spacing w:val="0"/>
                <w:sz w:val="24"/>
                <w:szCs w:val="24"/>
                <w:lang w:eastAsia="en-GB"/>
              </w:rPr>
            </w:pPr>
            <w:r w:rsidRPr="00380DE4">
              <w:rPr>
                <w:rFonts w:cs="Arial"/>
                <w:b/>
                <w:bCs/>
                <w:spacing w:val="0"/>
                <w:sz w:val="24"/>
                <w:szCs w:val="24"/>
                <w:lang w:eastAsia="en-GB"/>
              </w:rPr>
              <w:t>3</w:t>
            </w:r>
            <w:r w:rsidR="00380DE4" w:rsidRPr="00380DE4">
              <w:rPr>
                <w:rFonts w:cs="Arial"/>
                <w:b/>
                <w:bCs/>
                <w:spacing w:val="0"/>
                <w:sz w:val="24"/>
                <w:szCs w:val="24"/>
                <w:lang w:eastAsia="en-GB"/>
              </w:rPr>
              <w:t>7</w:t>
            </w:r>
            <w:r w:rsidR="00B02E25" w:rsidRPr="00380DE4">
              <w:rPr>
                <w:rFonts w:cs="Arial"/>
                <w:b/>
                <w:bCs/>
                <w:spacing w:val="0"/>
                <w:sz w:val="24"/>
                <w:szCs w:val="24"/>
                <w:lang w:eastAsia="en-GB"/>
              </w:rPr>
              <w:t>,</w:t>
            </w:r>
            <w:r w:rsidR="00380DE4" w:rsidRPr="00380DE4">
              <w:rPr>
                <w:rFonts w:cs="Arial"/>
                <w:b/>
                <w:bCs/>
                <w:spacing w:val="0"/>
                <w:sz w:val="24"/>
                <w:szCs w:val="24"/>
                <w:lang w:eastAsia="en-GB"/>
              </w:rPr>
              <w:t>2</w:t>
            </w:r>
            <w:r w:rsidR="00B02E25" w:rsidRPr="00380DE4">
              <w:rPr>
                <w:rFonts w:cs="Arial"/>
                <w:b/>
                <w:bCs/>
                <w:spacing w:val="0"/>
                <w:sz w:val="24"/>
                <w:szCs w:val="24"/>
                <w:lang w:eastAsia="en-GB"/>
              </w:rPr>
              <w:t>00</w:t>
            </w:r>
          </w:p>
        </w:tc>
        <w:tc>
          <w:tcPr>
            <w:tcW w:w="948" w:type="dxa"/>
            <w:tcBorders>
              <w:top w:val="nil"/>
              <w:left w:val="nil"/>
              <w:bottom w:val="single" w:sz="4" w:space="0" w:color="auto"/>
              <w:right w:val="single" w:sz="4" w:space="0" w:color="auto"/>
            </w:tcBorders>
            <w:shd w:val="clear" w:color="auto" w:fill="auto"/>
            <w:noWrap/>
            <w:vAlign w:val="bottom"/>
            <w:hideMark/>
          </w:tcPr>
          <w:p w14:paraId="73C68936" w14:textId="77777777" w:rsidR="000C1CD6" w:rsidRPr="00380DE4" w:rsidRDefault="00A724BF" w:rsidP="000C1CD6">
            <w:pPr>
              <w:jc w:val="right"/>
              <w:rPr>
                <w:rFonts w:cs="Arial"/>
                <w:b/>
                <w:bCs/>
                <w:spacing w:val="0"/>
                <w:sz w:val="24"/>
                <w:szCs w:val="24"/>
                <w:lang w:eastAsia="en-GB"/>
              </w:rPr>
            </w:pPr>
            <w:r w:rsidRPr="00380DE4">
              <w:rPr>
                <w:rFonts w:cs="Arial"/>
                <w:b/>
                <w:bCs/>
                <w:spacing w:val="0"/>
                <w:sz w:val="24"/>
                <w:szCs w:val="24"/>
                <w:lang w:eastAsia="en-GB"/>
              </w:rPr>
              <w:t>100%</w:t>
            </w:r>
          </w:p>
        </w:tc>
      </w:tr>
      <w:tr w:rsidR="002252C6" w14:paraId="31046E2C" w14:textId="77777777" w:rsidTr="000C1CD6">
        <w:trPr>
          <w:trHeight w:val="300"/>
          <w:jc w:val="center"/>
        </w:trPr>
        <w:tc>
          <w:tcPr>
            <w:tcW w:w="88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4506CD72" w14:textId="77777777" w:rsidR="000C1CD6" w:rsidRPr="00380DE4" w:rsidRDefault="00A724BF" w:rsidP="000C1CD6">
            <w:pPr>
              <w:rPr>
                <w:rFonts w:cs="Arial"/>
                <w:spacing w:val="0"/>
                <w:sz w:val="24"/>
                <w:szCs w:val="24"/>
                <w:lang w:eastAsia="en-GB"/>
              </w:rPr>
            </w:pPr>
            <w:r w:rsidRPr="00380DE4">
              <w:rPr>
                <w:rFonts w:cs="Arial"/>
                <w:spacing w:val="0"/>
                <w:sz w:val="24"/>
                <w:szCs w:val="24"/>
                <w:lang w:eastAsia="en-GB"/>
              </w:rPr>
              <w:t> </w:t>
            </w:r>
          </w:p>
        </w:tc>
      </w:tr>
      <w:tr w:rsidR="002252C6" w14:paraId="287C1246" w14:textId="77777777" w:rsidTr="000C1CD6">
        <w:trPr>
          <w:trHeight w:val="315"/>
          <w:jc w:val="center"/>
        </w:trPr>
        <w:tc>
          <w:tcPr>
            <w:tcW w:w="88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36D12" w14:textId="77777777" w:rsidR="000C1CD6" w:rsidRPr="00380DE4" w:rsidRDefault="00A724BF" w:rsidP="000C1CD6">
            <w:pPr>
              <w:rPr>
                <w:rFonts w:cs="Arial"/>
                <w:b/>
                <w:bCs/>
                <w:spacing w:val="0"/>
                <w:sz w:val="24"/>
                <w:szCs w:val="24"/>
                <w:lang w:eastAsia="en-GB"/>
              </w:rPr>
            </w:pPr>
            <w:r w:rsidRPr="00380DE4">
              <w:rPr>
                <w:rFonts w:cs="Arial"/>
                <w:b/>
                <w:bCs/>
                <w:spacing w:val="0"/>
                <w:sz w:val="24"/>
                <w:szCs w:val="24"/>
                <w:lang w:eastAsia="en-GB"/>
              </w:rPr>
              <w:t>Treasury External Borrowing</w:t>
            </w:r>
          </w:p>
        </w:tc>
      </w:tr>
      <w:tr w:rsidR="002252C6" w14:paraId="1C0B1769" w14:textId="77777777" w:rsidTr="000C1CD6">
        <w:trPr>
          <w:trHeight w:val="300"/>
          <w:jc w:val="center"/>
        </w:trPr>
        <w:tc>
          <w:tcPr>
            <w:tcW w:w="4480" w:type="dxa"/>
            <w:tcBorders>
              <w:top w:val="nil"/>
              <w:left w:val="single" w:sz="4" w:space="0" w:color="auto"/>
              <w:bottom w:val="nil"/>
              <w:right w:val="single" w:sz="4" w:space="0" w:color="auto"/>
            </w:tcBorders>
            <w:shd w:val="clear" w:color="auto" w:fill="auto"/>
            <w:noWrap/>
            <w:vAlign w:val="bottom"/>
            <w:hideMark/>
          </w:tcPr>
          <w:p w14:paraId="3AD5CCE4" w14:textId="77777777" w:rsidR="000C1CD6" w:rsidRPr="00380DE4" w:rsidRDefault="00A724BF" w:rsidP="000C1CD6">
            <w:pPr>
              <w:rPr>
                <w:rFonts w:cs="Arial"/>
                <w:spacing w:val="0"/>
                <w:sz w:val="24"/>
                <w:szCs w:val="24"/>
                <w:lang w:eastAsia="en-GB"/>
              </w:rPr>
            </w:pPr>
            <w:r w:rsidRPr="00380DE4">
              <w:rPr>
                <w:rFonts w:cs="Arial"/>
                <w:spacing w:val="0"/>
                <w:sz w:val="24"/>
                <w:szCs w:val="24"/>
                <w:lang w:eastAsia="en-GB"/>
              </w:rPr>
              <w:t>PWLB</w:t>
            </w:r>
          </w:p>
        </w:tc>
        <w:tc>
          <w:tcPr>
            <w:tcW w:w="1252" w:type="dxa"/>
            <w:tcBorders>
              <w:top w:val="nil"/>
              <w:left w:val="nil"/>
              <w:bottom w:val="nil"/>
              <w:right w:val="single" w:sz="4" w:space="0" w:color="auto"/>
            </w:tcBorders>
            <w:shd w:val="clear" w:color="auto" w:fill="auto"/>
            <w:noWrap/>
            <w:vAlign w:val="bottom"/>
            <w:hideMark/>
          </w:tcPr>
          <w:p w14:paraId="372208EA" w14:textId="77777777" w:rsidR="000C1CD6" w:rsidRPr="00380DE4" w:rsidRDefault="00A724BF" w:rsidP="000C1CD6">
            <w:pPr>
              <w:jc w:val="right"/>
              <w:rPr>
                <w:rFonts w:cs="Arial"/>
                <w:spacing w:val="0"/>
                <w:sz w:val="24"/>
                <w:szCs w:val="24"/>
                <w:lang w:eastAsia="en-GB"/>
              </w:rPr>
            </w:pPr>
            <w:r w:rsidRPr="00380DE4">
              <w:rPr>
                <w:rFonts w:cs="Arial"/>
                <w:spacing w:val="0"/>
                <w:sz w:val="24"/>
                <w:szCs w:val="24"/>
                <w:lang w:eastAsia="en-GB"/>
              </w:rPr>
              <w:t>64,427</w:t>
            </w:r>
          </w:p>
        </w:tc>
        <w:tc>
          <w:tcPr>
            <w:tcW w:w="948" w:type="dxa"/>
            <w:tcBorders>
              <w:top w:val="nil"/>
              <w:left w:val="nil"/>
              <w:bottom w:val="nil"/>
              <w:right w:val="single" w:sz="4" w:space="0" w:color="auto"/>
            </w:tcBorders>
            <w:shd w:val="clear" w:color="auto" w:fill="auto"/>
            <w:noWrap/>
            <w:vAlign w:val="bottom"/>
            <w:hideMark/>
          </w:tcPr>
          <w:p w14:paraId="2FBCDACA" w14:textId="77777777" w:rsidR="000C1CD6" w:rsidRPr="00380DE4" w:rsidRDefault="00A724BF" w:rsidP="000C1CD6">
            <w:pPr>
              <w:jc w:val="right"/>
              <w:rPr>
                <w:rFonts w:cs="Arial"/>
                <w:spacing w:val="0"/>
                <w:sz w:val="24"/>
                <w:szCs w:val="24"/>
                <w:lang w:eastAsia="en-GB"/>
              </w:rPr>
            </w:pPr>
            <w:r w:rsidRPr="00380DE4">
              <w:rPr>
                <w:rFonts w:cs="Arial"/>
                <w:spacing w:val="0"/>
                <w:sz w:val="24"/>
                <w:szCs w:val="24"/>
                <w:lang w:eastAsia="en-GB"/>
              </w:rPr>
              <w:t>100%</w:t>
            </w:r>
          </w:p>
        </w:tc>
        <w:tc>
          <w:tcPr>
            <w:tcW w:w="1252" w:type="dxa"/>
            <w:tcBorders>
              <w:top w:val="nil"/>
              <w:left w:val="nil"/>
              <w:bottom w:val="nil"/>
              <w:right w:val="single" w:sz="4" w:space="0" w:color="auto"/>
            </w:tcBorders>
            <w:shd w:val="clear" w:color="auto" w:fill="auto"/>
            <w:noWrap/>
            <w:vAlign w:val="bottom"/>
            <w:hideMark/>
          </w:tcPr>
          <w:p w14:paraId="7B2252CB" w14:textId="77777777" w:rsidR="000C1CD6" w:rsidRPr="00380DE4" w:rsidRDefault="00A724BF" w:rsidP="000C1CD6">
            <w:pPr>
              <w:jc w:val="right"/>
              <w:rPr>
                <w:rFonts w:cs="Arial"/>
                <w:spacing w:val="0"/>
                <w:sz w:val="24"/>
                <w:szCs w:val="24"/>
                <w:lang w:eastAsia="en-GB"/>
              </w:rPr>
            </w:pPr>
            <w:r w:rsidRPr="00380DE4">
              <w:rPr>
                <w:rFonts w:cs="Arial"/>
                <w:spacing w:val="0"/>
                <w:sz w:val="24"/>
                <w:szCs w:val="24"/>
                <w:lang w:eastAsia="en-GB"/>
              </w:rPr>
              <w:t>64,427</w:t>
            </w:r>
          </w:p>
        </w:tc>
        <w:tc>
          <w:tcPr>
            <w:tcW w:w="948" w:type="dxa"/>
            <w:tcBorders>
              <w:top w:val="nil"/>
              <w:left w:val="nil"/>
              <w:bottom w:val="nil"/>
              <w:right w:val="single" w:sz="4" w:space="0" w:color="auto"/>
            </w:tcBorders>
            <w:shd w:val="clear" w:color="auto" w:fill="auto"/>
            <w:noWrap/>
            <w:vAlign w:val="bottom"/>
            <w:hideMark/>
          </w:tcPr>
          <w:p w14:paraId="6ECF26A9" w14:textId="77777777" w:rsidR="000C1CD6" w:rsidRPr="00380DE4" w:rsidRDefault="00A724BF" w:rsidP="000C1CD6">
            <w:pPr>
              <w:jc w:val="right"/>
              <w:rPr>
                <w:rFonts w:cs="Arial"/>
                <w:spacing w:val="0"/>
                <w:sz w:val="24"/>
                <w:szCs w:val="24"/>
                <w:lang w:eastAsia="en-GB"/>
              </w:rPr>
            </w:pPr>
            <w:r w:rsidRPr="00380DE4">
              <w:rPr>
                <w:rFonts w:cs="Arial"/>
                <w:spacing w:val="0"/>
                <w:sz w:val="24"/>
                <w:szCs w:val="24"/>
                <w:lang w:eastAsia="en-GB"/>
              </w:rPr>
              <w:t>100%</w:t>
            </w:r>
          </w:p>
        </w:tc>
      </w:tr>
      <w:tr w:rsidR="002252C6" w14:paraId="40AB6E7E" w14:textId="77777777" w:rsidTr="000C1CD6">
        <w:trPr>
          <w:trHeight w:val="315"/>
          <w:jc w:val="center"/>
        </w:trPr>
        <w:tc>
          <w:tcPr>
            <w:tcW w:w="4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8DCDEA" w14:textId="77777777" w:rsidR="000C1CD6" w:rsidRPr="00380DE4" w:rsidRDefault="00A724BF" w:rsidP="000C1CD6">
            <w:pPr>
              <w:rPr>
                <w:rFonts w:cs="Arial"/>
                <w:b/>
                <w:bCs/>
                <w:spacing w:val="0"/>
                <w:sz w:val="24"/>
                <w:szCs w:val="24"/>
                <w:lang w:eastAsia="en-GB"/>
              </w:rPr>
            </w:pPr>
            <w:r w:rsidRPr="00380DE4">
              <w:rPr>
                <w:rFonts w:cs="Arial"/>
                <w:b/>
                <w:bCs/>
                <w:spacing w:val="0"/>
                <w:sz w:val="24"/>
                <w:szCs w:val="24"/>
                <w:lang w:eastAsia="en-GB"/>
              </w:rPr>
              <w:t>Total External Borrowing</w:t>
            </w:r>
          </w:p>
        </w:tc>
        <w:tc>
          <w:tcPr>
            <w:tcW w:w="1252" w:type="dxa"/>
            <w:tcBorders>
              <w:top w:val="single" w:sz="4" w:space="0" w:color="auto"/>
              <w:left w:val="nil"/>
              <w:bottom w:val="single" w:sz="4" w:space="0" w:color="auto"/>
              <w:right w:val="single" w:sz="4" w:space="0" w:color="auto"/>
            </w:tcBorders>
            <w:shd w:val="clear" w:color="auto" w:fill="auto"/>
            <w:noWrap/>
            <w:vAlign w:val="bottom"/>
            <w:hideMark/>
          </w:tcPr>
          <w:p w14:paraId="0B2181BF" w14:textId="77777777" w:rsidR="000C1CD6" w:rsidRPr="00380DE4" w:rsidRDefault="00A724BF" w:rsidP="000C1CD6">
            <w:pPr>
              <w:jc w:val="right"/>
              <w:rPr>
                <w:rFonts w:cs="Arial"/>
                <w:b/>
                <w:bCs/>
                <w:spacing w:val="0"/>
                <w:sz w:val="24"/>
                <w:szCs w:val="24"/>
                <w:lang w:eastAsia="en-GB"/>
              </w:rPr>
            </w:pPr>
            <w:r w:rsidRPr="00380DE4">
              <w:rPr>
                <w:rFonts w:cs="Arial"/>
                <w:b/>
                <w:bCs/>
                <w:spacing w:val="0"/>
                <w:sz w:val="24"/>
                <w:szCs w:val="24"/>
                <w:lang w:eastAsia="en-GB"/>
              </w:rPr>
              <w:t>64,427</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14:paraId="1F7B3A0E" w14:textId="77777777" w:rsidR="000C1CD6" w:rsidRPr="00380DE4" w:rsidRDefault="00A724BF" w:rsidP="000C1CD6">
            <w:pPr>
              <w:jc w:val="right"/>
              <w:rPr>
                <w:rFonts w:cs="Arial"/>
                <w:b/>
                <w:bCs/>
                <w:spacing w:val="0"/>
                <w:sz w:val="24"/>
                <w:szCs w:val="24"/>
                <w:lang w:eastAsia="en-GB"/>
              </w:rPr>
            </w:pPr>
            <w:r w:rsidRPr="00380DE4">
              <w:rPr>
                <w:rFonts w:cs="Arial"/>
                <w:b/>
                <w:bCs/>
                <w:spacing w:val="0"/>
                <w:sz w:val="24"/>
                <w:szCs w:val="24"/>
                <w:lang w:eastAsia="en-GB"/>
              </w:rPr>
              <w:t>100%</w:t>
            </w:r>
          </w:p>
        </w:tc>
        <w:tc>
          <w:tcPr>
            <w:tcW w:w="1252" w:type="dxa"/>
            <w:tcBorders>
              <w:top w:val="single" w:sz="4" w:space="0" w:color="auto"/>
              <w:left w:val="nil"/>
              <w:bottom w:val="single" w:sz="4" w:space="0" w:color="auto"/>
              <w:right w:val="single" w:sz="4" w:space="0" w:color="auto"/>
            </w:tcBorders>
            <w:shd w:val="clear" w:color="auto" w:fill="auto"/>
            <w:noWrap/>
            <w:vAlign w:val="bottom"/>
            <w:hideMark/>
          </w:tcPr>
          <w:p w14:paraId="556EF15E" w14:textId="77777777" w:rsidR="000C1CD6" w:rsidRPr="00380DE4" w:rsidRDefault="00A724BF" w:rsidP="000C1CD6">
            <w:pPr>
              <w:jc w:val="right"/>
              <w:rPr>
                <w:rFonts w:cs="Arial"/>
                <w:b/>
                <w:bCs/>
                <w:spacing w:val="0"/>
                <w:sz w:val="24"/>
                <w:szCs w:val="24"/>
                <w:lang w:eastAsia="en-GB"/>
              </w:rPr>
            </w:pPr>
            <w:r w:rsidRPr="00380DE4">
              <w:rPr>
                <w:rFonts w:cs="Arial"/>
                <w:b/>
                <w:bCs/>
                <w:spacing w:val="0"/>
                <w:sz w:val="24"/>
                <w:szCs w:val="24"/>
                <w:lang w:eastAsia="en-GB"/>
              </w:rPr>
              <w:t>64,427</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14:paraId="1C2E8B87" w14:textId="77777777" w:rsidR="000C1CD6" w:rsidRPr="00380DE4" w:rsidRDefault="00A724BF" w:rsidP="000C1CD6">
            <w:pPr>
              <w:jc w:val="right"/>
              <w:rPr>
                <w:rFonts w:cs="Arial"/>
                <w:b/>
                <w:bCs/>
                <w:spacing w:val="0"/>
                <w:sz w:val="24"/>
                <w:szCs w:val="24"/>
                <w:lang w:eastAsia="en-GB"/>
              </w:rPr>
            </w:pPr>
            <w:r w:rsidRPr="00380DE4">
              <w:rPr>
                <w:rFonts w:cs="Arial"/>
                <w:b/>
                <w:bCs/>
                <w:spacing w:val="0"/>
                <w:sz w:val="24"/>
                <w:szCs w:val="24"/>
                <w:lang w:eastAsia="en-GB"/>
              </w:rPr>
              <w:t>100%</w:t>
            </w:r>
          </w:p>
        </w:tc>
      </w:tr>
      <w:tr w:rsidR="002252C6" w14:paraId="15171BE2" w14:textId="77777777" w:rsidTr="000C1CD6">
        <w:trPr>
          <w:trHeight w:val="300"/>
          <w:jc w:val="center"/>
        </w:trPr>
        <w:tc>
          <w:tcPr>
            <w:tcW w:w="8880" w:type="dxa"/>
            <w:gridSpan w:val="5"/>
            <w:tcBorders>
              <w:top w:val="nil"/>
              <w:left w:val="single" w:sz="4" w:space="0" w:color="auto"/>
              <w:bottom w:val="single" w:sz="4" w:space="0" w:color="auto"/>
              <w:right w:val="single" w:sz="4" w:space="0" w:color="auto"/>
            </w:tcBorders>
            <w:shd w:val="clear" w:color="auto" w:fill="auto"/>
            <w:noWrap/>
            <w:vAlign w:val="bottom"/>
            <w:hideMark/>
          </w:tcPr>
          <w:p w14:paraId="0BBAB74F" w14:textId="77777777" w:rsidR="000C1CD6" w:rsidRPr="00380DE4" w:rsidRDefault="00A724BF" w:rsidP="000C1CD6">
            <w:pPr>
              <w:rPr>
                <w:rFonts w:cs="Arial"/>
                <w:spacing w:val="0"/>
                <w:sz w:val="24"/>
                <w:szCs w:val="24"/>
                <w:lang w:eastAsia="en-GB"/>
              </w:rPr>
            </w:pPr>
            <w:r w:rsidRPr="00380DE4">
              <w:rPr>
                <w:rFonts w:cs="Arial"/>
                <w:spacing w:val="0"/>
                <w:sz w:val="24"/>
                <w:szCs w:val="24"/>
                <w:lang w:eastAsia="en-GB"/>
              </w:rPr>
              <w:t> </w:t>
            </w:r>
          </w:p>
        </w:tc>
      </w:tr>
      <w:tr w:rsidR="002252C6" w14:paraId="29379F72" w14:textId="77777777" w:rsidTr="000C1CD6">
        <w:trPr>
          <w:trHeight w:val="315"/>
          <w:jc w:val="center"/>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14:paraId="329559D6" w14:textId="77777777" w:rsidR="000C1CD6" w:rsidRPr="00380DE4" w:rsidRDefault="00A724BF" w:rsidP="000C1CD6">
            <w:pPr>
              <w:rPr>
                <w:rFonts w:cs="Arial"/>
                <w:b/>
                <w:bCs/>
                <w:spacing w:val="0"/>
                <w:sz w:val="24"/>
                <w:szCs w:val="24"/>
                <w:lang w:eastAsia="en-GB"/>
              </w:rPr>
            </w:pPr>
            <w:r w:rsidRPr="00380DE4">
              <w:rPr>
                <w:rFonts w:cs="Arial"/>
                <w:b/>
                <w:bCs/>
                <w:spacing w:val="0"/>
                <w:sz w:val="24"/>
                <w:szCs w:val="24"/>
                <w:lang w:eastAsia="en-GB"/>
              </w:rPr>
              <w:t>Net treasury investments / (borrowing)</w:t>
            </w:r>
          </w:p>
        </w:tc>
        <w:tc>
          <w:tcPr>
            <w:tcW w:w="1252" w:type="dxa"/>
            <w:tcBorders>
              <w:top w:val="nil"/>
              <w:left w:val="nil"/>
              <w:bottom w:val="single" w:sz="4" w:space="0" w:color="auto"/>
              <w:right w:val="single" w:sz="4" w:space="0" w:color="auto"/>
            </w:tcBorders>
            <w:shd w:val="clear" w:color="auto" w:fill="auto"/>
            <w:noWrap/>
            <w:vAlign w:val="bottom"/>
            <w:hideMark/>
          </w:tcPr>
          <w:p w14:paraId="26A42B14" w14:textId="77777777" w:rsidR="000C1CD6" w:rsidRPr="00380DE4" w:rsidRDefault="00A724BF" w:rsidP="000C1CD6">
            <w:pPr>
              <w:jc w:val="right"/>
              <w:rPr>
                <w:rFonts w:cs="Arial"/>
                <w:b/>
                <w:bCs/>
                <w:spacing w:val="0"/>
                <w:sz w:val="24"/>
                <w:szCs w:val="24"/>
                <w:lang w:eastAsia="en-GB"/>
              </w:rPr>
            </w:pPr>
            <w:r w:rsidRPr="00380DE4">
              <w:rPr>
                <w:rFonts w:cs="Arial"/>
                <w:b/>
                <w:bCs/>
                <w:spacing w:val="0"/>
                <w:sz w:val="24"/>
                <w:szCs w:val="24"/>
                <w:lang w:eastAsia="en-GB"/>
              </w:rPr>
              <w:t>-</w:t>
            </w:r>
            <w:r w:rsidR="00154CFA" w:rsidRPr="00380DE4">
              <w:rPr>
                <w:rFonts w:cs="Arial"/>
                <w:b/>
                <w:bCs/>
                <w:spacing w:val="0"/>
                <w:sz w:val="24"/>
                <w:szCs w:val="24"/>
                <w:lang w:eastAsia="en-GB"/>
              </w:rPr>
              <w:t>29</w:t>
            </w:r>
            <w:r w:rsidRPr="00380DE4">
              <w:rPr>
                <w:rFonts w:cs="Arial"/>
                <w:b/>
                <w:bCs/>
                <w:spacing w:val="0"/>
                <w:sz w:val="24"/>
                <w:szCs w:val="24"/>
                <w:lang w:eastAsia="en-GB"/>
              </w:rPr>
              <w:t>,</w:t>
            </w:r>
            <w:r w:rsidR="00154CFA" w:rsidRPr="00380DE4">
              <w:rPr>
                <w:rFonts w:cs="Arial"/>
                <w:b/>
                <w:bCs/>
                <w:spacing w:val="0"/>
                <w:sz w:val="24"/>
                <w:szCs w:val="24"/>
                <w:lang w:eastAsia="en-GB"/>
              </w:rPr>
              <w:t>4</w:t>
            </w:r>
            <w:r w:rsidR="0062056B" w:rsidRPr="00380DE4">
              <w:rPr>
                <w:rFonts w:cs="Arial"/>
                <w:b/>
                <w:bCs/>
                <w:spacing w:val="0"/>
                <w:sz w:val="24"/>
                <w:szCs w:val="24"/>
                <w:lang w:eastAsia="en-GB"/>
              </w:rPr>
              <w:t>2</w:t>
            </w:r>
            <w:r w:rsidRPr="00380DE4">
              <w:rPr>
                <w:rFonts w:cs="Arial"/>
                <w:b/>
                <w:bCs/>
                <w:spacing w:val="0"/>
                <w:sz w:val="24"/>
                <w:szCs w:val="24"/>
                <w:lang w:eastAsia="en-GB"/>
              </w:rPr>
              <w:t>7</w:t>
            </w:r>
          </w:p>
        </w:tc>
        <w:tc>
          <w:tcPr>
            <w:tcW w:w="948" w:type="dxa"/>
            <w:tcBorders>
              <w:top w:val="nil"/>
              <w:left w:val="nil"/>
              <w:bottom w:val="single" w:sz="4" w:space="0" w:color="auto"/>
              <w:right w:val="single" w:sz="4" w:space="0" w:color="auto"/>
            </w:tcBorders>
            <w:shd w:val="clear" w:color="auto" w:fill="auto"/>
            <w:noWrap/>
            <w:vAlign w:val="bottom"/>
            <w:hideMark/>
          </w:tcPr>
          <w:p w14:paraId="03156AEC" w14:textId="77777777" w:rsidR="000C1CD6" w:rsidRPr="00380DE4" w:rsidRDefault="00A724BF" w:rsidP="000C1CD6">
            <w:pPr>
              <w:rPr>
                <w:rFonts w:cs="Arial"/>
                <w:b/>
                <w:bCs/>
                <w:spacing w:val="0"/>
                <w:sz w:val="24"/>
                <w:szCs w:val="24"/>
                <w:lang w:eastAsia="en-GB"/>
              </w:rPr>
            </w:pPr>
            <w:r w:rsidRPr="00380DE4">
              <w:rPr>
                <w:rFonts w:cs="Arial"/>
                <w:b/>
                <w:bCs/>
                <w:spacing w:val="0"/>
                <w:sz w:val="24"/>
                <w:szCs w:val="24"/>
                <w:lang w:eastAsia="en-GB"/>
              </w:rPr>
              <w:t>-</w:t>
            </w:r>
          </w:p>
        </w:tc>
        <w:tc>
          <w:tcPr>
            <w:tcW w:w="1252" w:type="dxa"/>
            <w:tcBorders>
              <w:top w:val="nil"/>
              <w:left w:val="nil"/>
              <w:bottom w:val="single" w:sz="4" w:space="0" w:color="auto"/>
              <w:right w:val="single" w:sz="4" w:space="0" w:color="auto"/>
            </w:tcBorders>
            <w:shd w:val="clear" w:color="auto" w:fill="auto"/>
            <w:noWrap/>
            <w:vAlign w:val="bottom"/>
            <w:hideMark/>
          </w:tcPr>
          <w:p w14:paraId="67B38C3D" w14:textId="77777777" w:rsidR="000C1CD6" w:rsidRPr="00380DE4" w:rsidRDefault="00A724BF" w:rsidP="000C1CD6">
            <w:pPr>
              <w:jc w:val="right"/>
              <w:rPr>
                <w:rFonts w:cs="Arial"/>
                <w:b/>
                <w:bCs/>
                <w:spacing w:val="0"/>
                <w:sz w:val="24"/>
                <w:szCs w:val="24"/>
                <w:lang w:eastAsia="en-GB"/>
              </w:rPr>
            </w:pPr>
            <w:r w:rsidRPr="00380DE4">
              <w:rPr>
                <w:rFonts w:cs="Arial"/>
                <w:b/>
                <w:bCs/>
                <w:spacing w:val="0"/>
                <w:sz w:val="24"/>
                <w:szCs w:val="24"/>
                <w:lang w:eastAsia="en-GB"/>
              </w:rPr>
              <w:t>-</w:t>
            </w:r>
            <w:r w:rsidR="0062056B" w:rsidRPr="00380DE4">
              <w:rPr>
                <w:rFonts w:cs="Arial"/>
                <w:b/>
                <w:bCs/>
                <w:spacing w:val="0"/>
                <w:sz w:val="24"/>
                <w:szCs w:val="24"/>
                <w:lang w:eastAsia="en-GB"/>
              </w:rPr>
              <w:t>2</w:t>
            </w:r>
            <w:r w:rsidR="00380DE4" w:rsidRPr="00380DE4">
              <w:rPr>
                <w:rFonts w:cs="Arial"/>
                <w:b/>
                <w:bCs/>
                <w:spacing w:val="0"/>
                <w:sz w:val="24"/>
                <w:szCs w:val="24"/>
                <w:lang w:eastAsia="en-GB"/>
              </w:rPr>
              <w:t>7</w:t>
            </w:r>
            <w:r w:rsidRPr="00380DE4">
              <w:rPr>
                <w:rFonts w:cs="Arial"/>
                <w:b/>
                <w:bCs/>
                <w:spacing w:val="0"/>
                <w:sz w:val="24"/>
                <w:szCs w:val="24"/>
                <w:lang w:eastAsia="en-GB"/>
              </w:rPr>
              <w:t>,</w:t>
            </w:r>
            <w:r w:rsidR="00380DE4" w:rsidRPr="00380DE4">
              <w:rPr>
                <w:rFonts w:cs="Arial"/>
                <w:b/>
                <w:bCs/>
                <w:spacing w:val="0"/>
                <w:sz w:val="24"/>
                <w:szCs w:val="24"/>
                <w:lang w:eastAsia="en-GB"/>
              </w:rPr>
              <w:t>2</w:t>
            </w:r>
            <w:r w:rsidRPr="00380DE4">
              <w:rPr>
                <w:rFonts w:cs="Arial"/>
                <w:b/>
                <w:bCs/>
                <w:spacing w:val="0"/>
                <w:sz w:val="24"/>
                <w:szCs w:val="24"/>
                <w:lang w:eastAsia="en-GB"/>
              </w:rPr>
              <w:t>27</w:t>
            </w:r>
          </w:p>
        </w:tc>
        <w:tc>
          <w:tcPr>
            <w:tcW w:w="948" w:type="dxa"/>
            <w:tcBorders>
              <w:top w:val="nil"/>
              <w:left w:val="nil"/>
              <w:bottom w:val="single" w:sz="4" w:space="0" w:color="auto"/>
              <w:right w:val="single" w:sz="4" w:space="0" w:color="auto"/>
            </w:tcBorders>
            <w:shd w:val="clear" w:color="auto" w:fill="auto"/>
            <w:noWrap/>
            <w:vAlign w:val="bottom"/>
            <w:hideMark/>
          </w:tcPr>
          <w:p w14:paraId="6E17FC51" w14:textId="77777777" w:rsidR="000C1CD6" w:rsidRPr="00380DE4" w:rsidRDefault="00A724BF" w:rsidP="000C1CD6">
            <w:pPr>
              <w:rPr>
                <w:rFonts w:cs="Arial"/>
                <w:spacing w:val="0"/>
                <w:sz w:val="24"/>
                <w:szCs w:val="24"/>
                <w:lang w:eastAsia="en-GB"/>
              </w:rPr>
            </w:pPr>
            <w:r w:rsidRPr="00380DE4">
              <w:rPr>
                <w:rFonts w:cs="Arial"/>
                <w:spacing w:val="0"/>
                <w:sz w:val="24"/>
                <w:szCs w:val="24"/>
                <w:lang w:eastAsia="en-GB"/>
              </w:rPr>
              <w:t>-</w:t>
            </w:r>
          </w:p>
        </w:tc>
      </w:tr>
    </w:tbl>
    <w:p w14:paraId="55ECA12B" w14:textId="77777777" w:rsidR="00390288" w:rsidRPr="00380DE4" w:rsidRDefault="00390288" w:rsidP="009C4AF7">
      <w:pPr>
        <w:widowControl w:val="0"/>
        <w:numPr>
          <w:ilvl w:val="12"/>
          <w:numId w:val="0"/>
        </w:numPr>
        <w:spacing w:before="120" w:after="120"/>
        <w:jc w:val="both"/>
        <w:rPr>
          <w:rFonts w:cs="Arial"/>
          <w:bCs/>
        </w:rPr>
      </w:pPr>
    </w:p>
    <w:p w14:paraId="71EFD6C5" w14:textId="77777777" w:rsidR="007004E0" w:rsidRDefault="00A724BF" w:rsidP="009C4AF7">
      <w:pPr>
        <w:widowControl w:val="0"/>
        <w:numPr>
          <w:ilvl w:val="12"/>
          <w:numId w:val="0"/>
        </w:numPr>
        <w:spacing w:before="120" w:after="120"/>
        <w:jc w:val="both"/>
        <w:rPr>
          <w:rFonts w:cs="Arial"/>
          <w:bCs/>
        </w:rPr>
      </w:pPr>
      <w:r w:rsidRPr="00B66EDA">
        <w:rPr>
          <w:rFonts w:cs="Arial"/>
          <w:bCs/>
        </w:rPr>
        <w:t xml:space="preserve">The Council’s forward projections for borrowing are summarised below. The table shows the actual external debt, against the underlying capital borrowing need, (the Capital Financing Requirement - CFR), highlighting any over or under borrowing. </w:t>
      </w:r>
    </w:p>
    <w:p w14:paraId="190F2FD7" w14:textId="77777777" w:rsidR="00416DEC" w:rsidRDefault="00416DEC" w:rsidP="009C4AF7">
      <w:pPr>
        <w:widowControl w:val="0"/>
        <w:numPr>
          <w:ilvl w:val="12"/>
          <w:numId w:val="0"/>
        </w:numPr>
        <w:spacing w:before="120" w:after="120"/>
        <w:jc w:val="both"/>
        <w:rPr>
          <w:rFonts w:cs="Arial"/>
          <w:bCs/>
        </w:rPr>
      </w:pPr>
    </w:p>
    <w:p w14:paraId="76AB10B6" w14:textId="77777777" w:rsidR="00416DEC" w:rsidRDefault="00416DEC" w:rsidP="009C4AF7">
      <w:pPr>
        <w:widowControl w:val="0"/>
        <w:numPr>
          <w:ilvl w:val="12"/>
          <w:numId w:val="0"/>
        </w:numPr>
        <w:spacing w:before="120" w:after="120"/>
        <w:jc w:val="both"/>
        <w:rPr>
          <w:rFonts w:cs="Arial"/>
          <w:bCs/>
        </w:rPr>
      </w:pPr>
    </w:p>
    <w:p w14:paraId="1BAD0C82" w14:textId="77777777" w:rsidR="00416DEC" w:rsidRDefault="00416DEC" w:rsidP="009C4AF7">
      <w:pPr>
        <w:widowControl w:val="0"/>
        <w:numPr>
          <w:ilvl w:val="12"/>
          <w:numId w:val="0"/>
        </w:numPr>
        <w:spacing w:before="120" w:after="120"/>
        <w:jc w:val="both"/>
        <w:rPr>
          <w:rFonts w:cs="Arial"/>
          <w:bCs/>
        </w:rPr>
      </w:pPr>
    </w:p>
    <w:p w14:paraId="58C58A67" w14:textId="77777777" w:rsidR="00416DEC" w:rsidRDefault="00416DEC" w:rsidP="009C4AF7">
      <w:pPr>
        <w:widowControl w:val="0"/>
        <w:numPr>
          <w:ilvl w:val="12"/>
          <w:numId w:val="0"/>
        </w:numPr>
        <w:spacing w:before="120" w:after="120"/>
        <w:jc w:val="both"/>
        <w:rPr>
          <w:rFonts w:cs="Arial"/>
          <w:bCs/>
        </w:rPr>
      </w:pPr>
    </w:p>
    <w:p w14:paraId="2D5B6D95" w14:textId="77777777" w:rsidR="00416DEC" w:rsidRDefault="00416DEC" w:rsidP="009C4AF7">
      <w:pPr>
        <w:widowControl w:val="0"/>
        <w:numPr>
          <w:ilvl w:val="12"/>
          <w:numId w:val="0"/>
        </w:numPr>
        <w:spacing w:before="120" w:after="120"/>
        <w:jc w:val="both"/>
        <w:rPr>
          <w:rFonts w:cs="Arial"/>
          <w:bCs/>
        </w:rPr>
      </w:pPr>
    </w:p>
    <w:p w14:paraId="2787B0A4" w14:textId="77777777" w:rsidR="00416DEC" w:rsidRDefault="00416DEC" w:rsidP="009C4AF7">
      <w:pPr>
        <w:widowControl w:val="0"/>
        <w:numPr>
          <w:ilvl w:val="12"/>
          <w:numId w:val="0"/>
        </w:numPr>
        <w:spacing w:before="120" w:after="120"/>
        <w:jc w:val="both"/>
        <w:rPr>
          <w:rFonts w:cs="Arial"/>
          <w:bCs/>
        </w:rPr>
      </w:pPr>
    </w:p>
    <w:p w14:paraId="1B90504F" w14:textId="77777777" w:rsidR="00416DEC" w:rsidRDefault="00416DEC" w:rsidP="009C4AF7">
      <w:pPr>
        <w:widowControl w:val="0"/>
        <w:numPr>
          <w:ilvl w:val="12"/>
          <w:numId w:val="0"/>
        </w:numPr>
        <w:spacing w:before="120" w:after="120"/>
        <w:jc w:val="both"/>
        <w:rPr>
          <w:rFonts w:cs="Arial"/>
          <w:bCs/>
        </w:rPr>
      </w:pPr>
    </w:p>
    <w:p w14:paraId="0A659A2E" w14:textId="77777777" w:rsidR="00416DEC" w:rsidRPr="00B66EDA" w:rsidRDefault="00416DEC" w:rsidP="009C4AF7">
      <w:pPr>
        <w:widowControl w:val="0"/>
        <w:numPr>
          <w:ilvl w:val="12"/>
          <w:numId w:val="0"/>
        </w:numPr>
        <w:spacing w:before="120" w:after="120"/>
        <w:jc w:val="both"/>
        <w:rPr>
          <w:rFonts w:cs="Arial"/>
        </w:rPr>
      </w:pPr>
    </w:p>
    <w:tbl>
      <w:tblPr>
        <w:tblW w:w="9200" w:type="dxa"/>
        <w:tblLook w:val="04A0" w:firstRow="1" w:lastRow="0" w:firstColumn="1" w:lastColumn="0" w:noHBand="0" w:noVBand="1"/>
      </w:tblPr>
      <w:tblGrid>
        <w:gridCol w:w="2740"/>
        <w:gridCol w:w="1200"/>
        <w:gridCol w:w="1300"/>
        <w:gridCol w:w="1300"/>
        <w:gridCol w:w="1300"/>
        <w:gridCol w:w="1360"/>
      </w:tblGrid>
      <w:tr w:rsidR="002252C6" w14:paraId="6446DDAB" w14:textId="77777777" w:rsidTr="00380DE4">
        <w:trPr>
          <w:trHeight w:val="315"/>
        </w:trPr>
        <w:tc>
          <w:tcPr>
            <w:tcW w:w="2740" w:type="dxa"/>
            <w:vMerge w:val="restart"/>
            <w:tcBorders>
              <w:top w:val="single" w:sz="4" w:space="0" w:color="auto"/>
              <w:left w:val="single" w:sz="4" w:space="0" w:color="auto"/>
              <w:bottom w:val="single" w:sz="4" w:space="0" w:color="auto"/>
              <w:right w:val="single" w:sz="4" w:space="0" w:color="auto"/>
            </w:tcBorders>
            <w:shd w:val="clear" w:color="000000" w:fill="B3B3B3"/>
            <w:vAlign w:val="center"/>
            <w:hideMark/>
          </w:tcPr>
          <w:p w14:paraId="76D88204" w14:textId="77777777" w:rsidR="00380DE4" w:rsidRPr="00380DE4" w:rsidRDefault="00A724BF" w:rsidP="00380DE4">
            <w:pPr>
              <w:rPr>
                <w:rFonts w:cs="Arial"/>
                <w:b/>
                <w:bCs/>
                <w:spacing w:val="0"/>
                <w:sz w:val="22"/>
                <w:szCs w:val="22"/>
                <w:lang w:eastAsia="en-GB"/>
              </w:rPr>
            </w:pPr>
            <w:r w:rsidRPr="00380DE4">
              <w:rPr>
                <w:rFonts w:cs="Arial"/>
                <w:b/>
                <w:bCs/>
                <w:spacing w:val="0"/>
                <w:sz w:val="22"/>
                <w:szCs w:val="22"/>
                <w:lang w:eastAsia="en-GB"/>
              </w:rPr>
              <w:lastRenderedPageBreak/>
              <w:t>£'000</w:t>
            </w:r>
          </w:p>
        </w:tc>
        <w:tc>
          <w:tcPr>
            <w:tcW w:w="1200" w:type="dxa"/>
            <w:tcBorders>
              <w:top w:val="single" w:sz="4" w:space="0" w:color="auto"/>
              <w:left w:val="nil"/>
              <w:bottom w:val="single" w:sz="4" w:space="0" w:color="auto"/>
              <w:right w:val="single" w:sz="4" w:space="0" w:color="auto"/>
            </w:tcBorders>
            <w:shd w:val="clear" w:color="000000" w:fill="B3B3B3"/>
            <w:vAlign w:val="center"/>
            <w:hideMark/>
          </w:tcPr>
          <w:p w14:paraId="6B00D334"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2021/22</w:t>
            </w:r>
          </w:p>
        </w:tc>
        <w:tc>
          <w:tcPr>
            <w:tcW w:w="1300" w:type="dxa"/>
            <w:tcBorders>
              <w:top w:val="single" w:sz="4" w:space="0" w:color="auto"/>
              <w:left w:val="nil"/>
              <w:bottom w:val="single" w:sz="4" w:space="0" w:color="auto"/>
              <w:right w:val="single" w:sz="4" w:space="0" w:color="auto"/>
            </w:tcBorders>
            <w:shd w:val="clear" w:color="000000" w:fill="B3B3B3"/>
            <w:vAlign w:val="center"/>
            <w:hideMark/>
          </w:tcPr>
          <w:p w14:paraId="19B3668F"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2022/23</w:t>
            </w:r>
          </w:p>
        </w:tc>
        <w:tc>
          <w:tcPr>
            <w:tcW w:w="1300" w:type="dxa"/>
            <w:tcBorders>
              <w:top w:val="single" w:sz="4" w:space="0" w:color="auto"/>
              <w:left w:val="nil"/>
              <w:bottom w:val="single" w:sz="4" w:space="0" w:color="auto"/>
              <w:right w:val="single" w:sz="4" w:space="0" w:color="auto"/>
            </w:tcBorders>
            <w:shd w:val="clear" w:color="000000" w:fill="B3B3B3"/>
            <w:vAlign w:val="center"/>
            <w:hideMark/>
          </w:tcPr>
          <w:p w14:paraId="12722863"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2023/24</w:t>
            </w:r>
          </w:p>
        </w:tc>
        <w:tc>
          <w:tcPr>
            <w:tcW w:w="1300" w:type="dxa"/>
            <w:tcBorders>
              <w:top w:val="single" w:sz="4" w:space="0" w:color="auto"/>
              <w:left w:val="nil"/>
              <w:bottom w:val="single" w:sz="4" w:space="0" w:color="auto"/>
              <w:right w:val="single" w:sz="4" w:space="0" w:color="auto"/>
            </w:tcBorders>
            <w:shd w:val="clear" w:color="000000" w:fill="B3B3B3"/>
            <w:vAlign w:val="center"/>
            <w:hideMark/>
          </w:tcPr>
          <w:p w14:paraId="4084066D"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2024/25</w:t>
            </w:r>
          </w:p>
        </w:tc>
        <w:tc>
          <w:tcPr>
            <w:tcW w:w="1360" w:type="dxa"/>
            <w:tcBorders>
              <w:top w:val="single" w:sz="4" w:space="0" w:color="auto"/>
              <w:left w:val="nil"/>
              <w:bottom w:val="single" w:sz="4" w:space="0" w:color="auto"/>
              <w:right w:val="single" w:sz="4" w:space="0" w:color="auto"/>
            </w:tcBorders>
            <w:shd w:val="clear" w:color="000000" w:fill="B3B3B3"/>
            <w:vAlign w:val="center"/>
            <w:hideMark/>
          </w:tcPr>
          <w:p w14:paraId="23F760BC"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2025/26</w:t>
            </w:r>
          </w:p>
        </w:tc>
      </w:tr>
      <w:tr w:rsidR="002252C6" w14:paraId="7F5A86F6" w14:textId="77777777" w:rsidTr="00380DE4">
        <w:trPr>
          <w:trHeight w:val="315"/>
        </w:trPr>
        <w:tc>
          <w:tcPr>
            <w:tcW w:w="2740" w:type="dxa"/>
            <w:vMerge/>
            <w:tcBorders>
              <w:top w:val="single" w:sz="4" w:space="0" w:color="auto"/>
              <w:left w:val="single" w:sz="4" w:space="0" w:color="auto"/>
              <w:bottom w:val="single" w:sz="4" w:space="0" w:color="auto"/>
              <w:right w:val="single" w:sz="4" w:space="0" w:color="auto"/>
            </w:tcBorders>
            <w:vAlign w:val="center"/>
            <w:hideMark/>
          </w:tcPr>
          <w:p w14:paraId="0DB2CD01" w14:textId="77777777" w:rsidR="00380DE4" w:rsidRPr="00380DE4" w:rsidRDefault="00380DE4" w:rsidP="00380DE4">
            <w:pPr>
              <w:rPr>
                <w:rFonts w:cs="Arial"/>
                <w:b/>
                <w:bCs/>
                <w:spacing w:val="0"/>
                <w:sz w:val="22"/>
                <w:szCs w:val="22"/>
                <w:lang w:eastAsia="en-GB"/>
              </w:rPr>
            </w:pPr>
          </w:p>
        </w:tc>
        <w:tc>
          <w:tcPr>
            <w:tcW w:w="1200" w:type="dxa"/>
            <w:tcBorders>
              <w:top w:val="nil"/>
              <w:left w:val="nil"/>
              <w:bottom w:val="single" w:sz="4" w:space="0" w:color="auto"/>
              <w:right w:val="single" w:sz="4" w:space="0" w:color="auto"/>
            </w:tcBorders>
            <w:shd w:val="clear" w:color="000000" w:fill="B3B3B3"/>
            <w:vAlign w:val="center"/>
            <w:hideMark/>
          </w:tcPr>
          <w:p w14:paraId="1F6F57B6"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Actual</w:t>
            </w:r>
          </w:p>
        </w:tc>
        <w:tc>
          <w:tcPr>
            <w:tcW w:w="1300" w:type="dxa"/>
            <w:tcBorders>
              <w:top w:val="nil"/>
              <w:left w:val="nil"/>
              <w:bottom w:val="single" w:sz="4" w:space="0" w:color="auto"/>
              <w:right w:val="single" w:sz="4" w:space="0" w:color="auto"/>
            </w:tcBorders>
            <w:shd w:val="clear" w:color="000000" w:fill="B3B3B3"/>
            <w:vAlign w:val="center"/>
            <w:hideMark/>
          </w:tcPr>
          <w:p w14:paraId="0D84AB60"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Estimate</w:t>
            </w:r>
          </w:p>
        </w:tc>
        <w:tc>
          <w:tcPr>
            <w:tcW w:w="1300" w:type="dxa"/>
            <w:tcBorders>
              <w:top w:val="nil"/>
              <w:left w:val="nil"/>
              <w:bottom w:val="single" w:sz="4" w:space="0" w:color="auto"/>
              <w:right w:val="single" w:sz="4" w:space="0" w:color="auto"/>
            </w:tcBorders>
            <w:shd w:val="clear" w:color="000000" w:fill="B3B3B3"/>
            <w:vAlign w:val="center"/>
            <w:hideMark/>
          </w:tcPr>
          <w:p w14:paraId="35AF3594"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Estimate</w:t>
            </w:r>
          </w:p>
        </w:tc>
        <w:tc>
          <w:tcPr>
            <w:tcW w:w="1300" w:type="dxa"/>
            <w:tcBorders>
              <w:top w:val="nil"/>
              <w:left w:val="nil"/>
              <w:bottom w:val="single" w:sz="4" w:space="0" w:color="auto"/>
              <w:right w:val="single" w:sz="4" w:space="0" w:color="auto"/>
            </w:tcBorders>
            <w:shd w:val="clear" w:color="000000" w:fill="B3B3B3"/>
            <w:vAlign w:val="center"/>
            <w:hideMark/>
          </w:tcPr>
          <w:p w14:paraId="1DA72EFB"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Estimate</w:t>
            </w:r>
          </w:p>
        </w:tc>
        <w:tc>
          <w:tcPr>
            <w:tcW w:w="1360" w:type="dxa"/>
            <w:tcBorders>
              <w:top w:val="nil"/>
              <w:left w:val="nil"/>
              <w:bottom w:val="single" w:sz="4" w:space="0" w:color="auto"/>
              <w:right w:val="single" w:sz="4" w:space="0" w:color="auto"/>
            </w:tcBorders>
            <w:shd w:val="clear" w:color="000000" w:fill="B3B3B3"/>
            <w:vAlign w:val="center"/>
            <w:hideMark/>
          </w:tcPr>
          <w:p w14:paraId="31C22036"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Estimate</w:t>
            </w:r>
          </w:p>
        </w:tc>
      </w:tr>
      <w:tr w:rsidR="002252C6" w14:paraId="321D3A32" w14:textId="77777777" w:rsidTr="00380DE4">
        <w:trPr>
          <w:trHeight w:val="315"/>
        </w:trPr>
        <w:tc>
          <w:tcPr>
            <w:tcW w:w="92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EF89948" w14:textId="77777777" w:rsidR="00380DE4" w:rsidRPr="00380DE4" w:rsidRDefault="00A724BF" w:rsidP="00380DE4">
            <w:pPr>
              <w:rPr>
                <w:rFonts w:cs="Arial"/>
                <w:b/>
                <w:bCs/>
                <w:spacing w:val="0"/>
                <w:sz w:val="22"/>
                <w:szCs w:val="22"/>
                <w:lang w:eastAsia="en-GB"/>
              </w:rPr>
            </w:pPr>
            <w:r w:rsidRPr="00380DE4">
              <w:rPr>
                <w:rFonts w:cs="Arial"/>
                <w:b/>
                <w:bCs/>
                <w:spacing w:val="0"/>
                <w:sz w:val="22"/>
                <w:szCs w:val="22"/>
                <w:lang w:eastAsia="en-GB"/>
              </w:rPr>
              <w:t>External Debt</w:t>
            </w:r>
          </w:p>
        </w:tc>
      </w:tr>
      <w:tr w:rsidR="002252C6" w14:paraId="02675A19" w14:textId="77777777" w:rsidTr="00380DE4">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264E5E3E" w14:textId="77777777" w:rsidR="00380DE4" w:rsidRPr="00380DE4" w:rsidRDefault="00A724BF" w:rsidP="00380DE4">
            <w:pPr>
              <w:rPr>
                <w:rFonts w:cs="Arial"/>
                <w:b/>
                <w:bCs/>
                <w:spacing w:val="0"/>
                <w:sz w:val="22"/>
                <w:szCs w:val="22"/>
                <w:lang w:eastAsia="en-GB"/>
              </w:rPr>
            </w:pPr>
            <w:r w:rsidRPr="00380DE4">
              <w:rPr>
                <w:rFonts w:cs="Arial"/>
                <w:b/>
                <w:bCs/>
                <w:spacing w:val="0"/>
                <w:sz w:val="22"/>
                <w:szCs w:val="22"/>
                <w:lang w:eastAsia="en-GB"/>
              </w:rPr>
              <w:t> </w:t>
            </w:r>
          </w:p>
        </w:tc>
        <w:tc>
          <w:tcPr>
            <w:tcW w:w="1200" w:type="dxa"/>
            <w:tcBorders>
              <w:top w:val="nil"/>
              <w:left w:val="nil"/>
              <w:bottom w:val="single" w:sz="4" w:space="0" w:color="auto"/>
              <w:right w:val="single" w:sz="4" w:space="0" w:color="auto"/>
            </w:tcBorders>
            <w:shd w:val="clear" w:color="auto" w:fill="auto"/>
            <w:vAlign w:val="center"/>
            <w:hideMark/>
          </w:tcPr>
          <w:p w14:paraId="27822E57" w14:textId="77777777" w:rsidR="00380DE4" w:rsidRPr="00380DE4" w:rsidRDefault="00A724BF" w:rsidP="00380DE4">
            <w:pPr>
              <w:jc w:val="right"/>
              <w:rPr>
                <w:rFonts w:cs="Arial"/>
                <w:b/>
                <w:bCs/>
                <w:spacing w:val="0"/>
                <w:sz w:val="22"/>
                <w:szCs w:val="22"/>
                <w:lang w:eastAsia="en-GB"/>
              </w:rPr>
            </w:pPr>
            <w:r w:rsidRPr="00380DE4">
              <w:rPr>
                <w:rFonts w:cs="Arial"/>
                <w:b/>
                <w:bCs/>
                <w:spacing w:val="0"/>
                <w:sz w:val="22"/>
                <w:szCs w:val="22"/>
                <w:lang w:eastAsia="en-GB"/>
              </w:rPr>
              <w:t>£'000</w:t>
            </w:r>
          </w:p>
        </w:tc>
        <w:tc>
          <w:tcPr>
            <w:tcW w:w="1300" w:type="dxa"/>
            <w:tcBorders>
              <w:top w:val="nil"/>
              <w:left w:val="nil"/>
              <w:bottom w:val="single" w:sz="4" w:space="0" w:color="auto"/>
              <w:right w:val="single" w:sz="4" w:space="0" w:color="auto"/>
            </w:tcBorders>
            <w:shd w:val="clear" w:color="auto" w:fill="auto"/>
            <w:vAlign w:val="center"/>
            <w:hideMark/>
          </w:tcPr>
          <w:p w14:paraId="483893D3" w14:textId="77777777" w:rsidR="00380DE4" w:rsidRPr="00380DE4" w:rsidRDefault="00A724BF" w:rsidP="00380DE4">
            <w:pPr>
              <w:jc w:val="right"/>
              <w:rPr>
                <w:rFonts w:cs="Arial"/>
                <w:b/>
                <w:bCs/>
                <w:spacing w:val="0"/>
                <w:sz w:val="22"/>
                <w:szCs w:val="22"/>
                <w:lang w:eastAsia="en-GB"/>
              </w:rPr>
            </w:pPr>
            <w:r w:rsidRPr="00380DE4">
              <w:rPr>
                <w:rFonts w:cs="Arial"/>
                <w:b/>
                <w:bCs/>
                <w:spacing w:val="0"/>
                <w:sz w:val="22"/>
                <w:szCs w:val="22"/>
                <w:lang w:eastAsia="en-GB"/>
              </w:rPr>
              <w:t>£'000</w:t>
            </w:r>
          </w:p>
        </w:tc>
        <w:tc>
          <w:tcPr>
            <w:tcW w:w="1300" w:type="dxa"/>
            <w:tcBorders>
              <w:top w:val="nil"/>
              <w:left w:val="nil"/>
              <w:bottom w:val="single" w:sz="4" w:space="0" w:color="auto"/>
              <w:right w:val="single" w:sz="4" w:space="0" w:color="auto"/>
            </w:tcBorders>
            <w:shd w:val="clear" w:color="auto" w:fill="auto"/>
            <w:vAlign w:val="center"/>
            <w:hideMark/>
          </w:tcPr>
          <w:p w14:paraId="3D8BE5C9" w14:textId="77777777" w:rsidR="00380DE4" w:rsidRPr="00380DE4" w:rsidRDefault="00A724BF" w:rsidP="00380DE4">
            <w:pPr>
              <w:jc w:val="right"/>
              <w:rPr>
                <w:rFonts w:cs="Arial"/>
                <w:b/>
                <w:bCs/>
                <w:spacing w:val="0"/>
                <w:sz w:val="22"/>
                <w:szCs w:val="22"/>
                <w:lang w:eastAsia="en-GB"/>
              </w:rPr>
            </w:pPr>
            <w:r w:rsidRPr="00380DE4">
              <w:rPr>
                <w:rFonts w:cs="Arial"/>
                <w:b/>
                <w:bCs/>
                <w:spacing w:val="0"/>
                <w:sz w:val="22"/>
                <w:szCs w:val="22"/>
                <w:lang w:eastAsia="en-GB"/>
              </w:rPr>
              <w:t>£'000</w:t>
            </w:r>
          </w:p>
        </w:tc>
        <w:tc>
          <w:tcPr>
            <w:tcW w:w="1300" w:type="dxa"/>
            <w:tcBorders>
              <w:top w:val="nil"/>
              <w:left w:val="nil"/>
              <w:bottom w:val="single" w:sz="4" w:space="0" w:color="auto"/>
              <w:right w:val="single" w:sz="4" w:space="0" w:color="auto"/>
            </w:tcBorders>
            <w:shd w:val="clear" w:color="auto" w:fill="auto"/>
            <w:vAlign w:val="center"/>
            <w:hideMark/>
          </w:tcPr>
          <w:p w14:paraId="3AFB2B95" w14:textId="77777777" w:rsidR="00380DE4" w:rsidRPr="00380DE4" w:rsidRDefault="00A724BF" w:rsidP="00380DE4">
            <w:pPr>
              <w:jc w:val="right"/>
              <w:rPr>
                <w:rFonts w:cs="Arial"/>
                <w:b/>
                <w:bCs/>
                <w:spacing w:val="0"/>
                <w:sz w:val="22"/>
                <w:szCs w:val="22"/>
                <w:lang w:eastAsia="en-GB"/>
              </w:rPr>
            </w:pPr>
            <w:r w:rsidRPr="00380DE4">
              <w:rPr>
                <w:rFonts w:cs="Arial"/>
                <w:b/>
                <w:bCs/>
                <w:spacing w:val="0"/>
                <w:sz w:val="22"/>
                <w:szCs w:val="22"/>
                <w:lang w:eastAsia="en-GB"/>
              </w:rPr>
              <w:t>£'000</w:t>
            </w:r>
          </w:p>
        </w:tc>
        <w:tc>
          <w:tcPr>
            <w:tcW w:w="1360" w:type="dxa"/>
            <w:tcBorders>
              <w:top w:val="nil"/>
              <w:left w:val="nil"/>
              <w:bottom w:val="single" w:sz="4" w:space="0" w:color="auto"/>
              <w:right w:val="single" w:sz="4" w:space="0" w:color="auto"/>
            </w:tcBorders>
            <w:shd w:val="clear" w:color="auto" w:fill="auto"/>
            <w:vAlign w:val="center"/>
            <w:hideMark/>
          </w:tcPr>
          <w:p w14:paraId="50C3CB9E" w14:textId="77777777" w:rsidR="00380DE4" w:rsidRPr="00380DE4" w:rsidRDefault="00A724BF" w:rsidP="00380DE4">
            <w:pPr>
              <w:jc w:val="right"/>
              <w:rPr>
                <w:rFonts w:cs="Arial"/>
                <w:b/>
                <w:bCs/>
                <w:spacing w:val="0"/>
                <w:sz w:val="22"/>
                <w:szCs w:val="22"/>
                <w:lang w:eastAsia="en-GB"/>
              </w:rPr>
            </w:pPr>
            <w:r w:rsidRPr="00380DE4">
              <w:rPr>
                <w:rFonts w:cs="Arial"/>
                <w:b/>
                <w:bCs/>
                <w:spacing w:val="0"/>
                <w:sz w:val="22"/>
                <w:szCs w:val="22"/>
                <w:lang w:eastAsia="en-GB"/>
              </w:rPr>
              <w:t>£'000</w:t>
            </w:r>
          </w:p>
        </w:tc>
      </w:tr>
      <w:tr w:rsidR="002252C6" w14:paraId="74B20A50" w14:textId="77777777" w:rsidTr="00380DE4">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51F8218F" w14:textId="77777777" w:rsidR="00380DE4" w:rsidRPr="00380DE4" w:rsidRDefault="00A724BF" w:rsidP="00380DE4">
            <w:pPr>
              <w:jc w:val="both"/>
              <w:rPr>
                <w:rFonts w:cs="Arial"/>
                <w:spacing w:val="0"/>
                <w:sz w:val="22"/>
                <w:szCs w:val="22"/>
                <w:lang w:eastAsia="en-GB"/>
              </w:rPr>
            </w:pPr>
            <w:r w:rsidRPr="00380DE4">
              <w:rPr>
                <w:rFonts w:cs="Arial"/>
                <w:spacing w:val="0"/>
                <w:sz w:val="22"/>
                <w:szCs w:val="22"/>
                <w:lang w:eastAsia="en-GB"/>
              </w:rPr>
              <w:t xml:space="preserve">Debt </w:t>
            </w:r>
            <w:proofErr w:type="gramStart"/>
            <w:r w:rsidRPr="00380DE4">
              <w:rPr>
                <w:rFonts w:cs="Arial"/>
                <w:spacing w:val="0"/>
                <w:sz w:val="22"/>
                <w:szCs w:val="22"/>
                <w:lang w:eastAsia="en-GB"/>
              </w:rPr>
              <w:t>at</w:t>
            </w:r>
            <w:proofErr w:type="gramEnd"/>
            <w:r w:rsidRPr="00380DE4">
              <w:rPr>
                <w:rFonts w:cs="Arial"/>
                <w:spacing w:val="0"/>
                <w:sz w:val="22"/>
                <w:szCs w:val="22"/>
                <w:lang w:eastAsia="en-GB"/>
              </w:rPr>
              <w:t xml:space="preserve"> 1 April </w:t>
            </w:r>
          </w:p>
        </w:tc>
        <w:tc>
          <w:tcPr>
            <w:tcW w:w="1200" w:type="dxa"/>
            <w:tcBorders>
              <w:top w:val="nil"/>
              <w:left w:val="nil"/>
              <w:bottom w:val="single" w:sz="4" w:space="0" w:color="auto"/>
              <w:right w:val="single" w:sz="4" w:space="0" w:color="auto"/>
            </w:tcBorders>
            <w:shd w:val="clear" w:color="auto" w:fill="auto"/>
            <w:vAlign w:val="center"/>
            <w:hideMark/>
          </w:tcPr>
          <w:p w14:paraId="372C58CC"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90,277</w:t>
            </w:r>
          </w:p>
        </w:tc>
        <w:tc>
          <w:tcPr>
            <w:tcW w:w="1300" w:type="dxa"/>
            <w:tcBorders>
              <w:top w:val="nil"/>
              <w:left w:val="nil"/>
              <w:bottom w:val="single" w:sz="4" w:space="0" w:color="auto"/>
              <w:right w:val="single" w:sz="4" w:space="0" w:color="auto"/>
            </w:tcBorders>
            <w:shd w:val="clear" w:color="auto" w:fill="auto"/>
            <w:vAlign w:val="center"/>
            <w:hideMark/>
          </w:tcPr>
          <w:p w14:paraId="3B575F87"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88,895</w:t>
            </w:r>
          </w:p>
        </w:tc>
        <w:tc>
          <w:tcPr>
            <w:tcW w:w="1300" w:type="dxa"/>
            <w:tcBorders>
              <w:top w:val="nil"/>
              <w:left w:val="nil"/>
              <w:bottom w:val="single" w:sz="4" w:space="0" w:color="auto"/>
              <w:right w:val="single" w:sz="4" w:space="0" w:color="auto"/>
            </w:tcBorders>
            <w:shd w:val="clear" w:color="auto" w:fill="auto"/>
            <w:vAlign w:val="center"/>
            <w:hideMark/>
          </w:tcPr>
          <w:p w14:paraId="21F89A95"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87,456</w:t>
            </w:r>
          </w:p>
        </w:tc>
        <w:tc>
          <w:tcPr>
            <w:tcW w:w="1300" w:type="dxa"/>
            <w:tcBorders>
              <w:top w:val="nil"/>
              <w:left w:val="nil"/>
              <w:bottom w:val="single" w:sz="4" w:space="0" w:color="auto"/>
              <w:right w:val="single" w:sz="4" w:space="0" w:color="auto"/>
            </w:tcBorders>
            <w:shd w:val="clear" w:color="auto" w:fill="auto"/>
            <w:vAlign w:val="center"/>
            <w:hideMark/>
          </w:tcPr>
          <w:p w14:paraId="594F061E"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135,561</w:t>
            </w:r>
          </w:p>
        </w:tc>
        <w:tc>
          <w:tcPr>
            <w:tcW w:w="1360" w:type="dxa"/>
            <w:tcBorders>
              <w:top w:val="nil"/>
              <w:left w:val="nil"/>
              <w:bottom w:val="single" w:sz="4" w:space="0" w:color="auto"/>
              <w:right w:val="single" w:sz="4" w:space="0" w:color="auto"/>
            </w:tcBorders>
            <w:shd w:val="clear" w:color="auto" w:fill="auto"/>
            <w:vAlign w:val="center"/>
            <w:hideMark/>
          </w:tcPr>
          <w:p w14:paraId="47AA8B62"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133,533</w:t>
            </w:r>
          </w:p>
        </w:tc>
      </w:tr>
      <w:tr w:rsidR="002252C6" w14:paraId="52379AE6" w14:textId="77777777" w:rsidTr="00380DE4">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6D42857D" w14:textId="77777777" w:rsidR="00380DE4" w:rsidRPr="00380DE4" w:rsidRDefault="00A724BF" w:rsidP="00380DE4">
            <w:pPr>
              <w:jc w:val="both"/>
              <w:rPr>
                <w:rFonts w:cs="Arial"/>
                <w:spacing w:val="0"/>
                <w:sz w:val="22"/>
                <w:szCs w:val="22"/>
                <w:lang w:eastAsia="en-GB"/>
              </w:rPr>
            </w:pPr>
            <w:r w:rsidRPr="00380DE4">
              <w:rPr>
                <w:rFonts w:cs="Arial"/>
                <w:spacing w:val="0"/>
                <w:sz w:val="22"/>
                <w:szCs w:val="22"/>
                <w:lang w:eastAsia="en-GB"/>
              </w:rPr>
              <w:t>Expected change in debt</w:t>
            </w:r>
          </w:p>
        </w:tc>
        <w:tc>
          <w:tcPr>
            <w:tcW w:w="1200" w:type="dxa"/>
            <w:tcBorders>
              <w:top w:val="nil"/>
              <w:left w:val="nil"/>
              <w:bottom w:val="single" w:sz="4" w:space="0" w:color="auto"/>
              <w:right w:val="single" w:sz="4" w:space="0" w:color="auto"/>
            </w:tcBorders>
            <w:shd w:val="clear" w:color="auto" w:fill="auto"/>
            <w:vAlign w:val="center"/>
            <w:hideMark/>
          </w:tcPr>
          <w:p w14:paraId="2C07F1F1"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0</w:t>
            </w:r>
          </w:p>
        </w:tc>
        <w:tc>
          <w:tcPr>
            <w:tcW w:w="1300" w:type="dxa"/>
            <w:tcBorders>
              <w:top w:val="nil"/>
              <w:left w:val="nil"/>
              <w:bottom w:val="single" w:sz="4" w:space="0" w:color="auto"/>
              <w:right w:val="single" w:sz="4" w:space="0" w:color="auto"/>
            </w:tcBorders>
            <w:shd w:val="clear" w:color="auto" w:fill="auto"/>
            <w:vAlign w:val="center"/>
            <w:hideMark/>
          </w:tcPr>
          <w:p w14:paraId="47D962D2"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0</w:t>
            </w:r>
          </w:p>
        </w:tc>
        <w:tc>
          <w:tcPr>
            <w:tcW w:w="1300" w:type="dxa"/>
            <w:tcBorders>
              <w:top w:val="nil"/>
              <w:left w:val="nil"/>
              <w:bottom w:val="single" w:sz="4" w:space="0" w:color="auto"/>
              <w:right w:val="single" w:sz="4" w:space="0" w:color="auto"/>
            </w:tcBorders>
            <w:shd w:val="clear" w:color="auto" w:fill="auto"/>
            <w:vAlign w:val="center"/>
            <w:hideMark/>
          </w:tcPr>
          <w:p w14:paraId="79B0FBEF"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49,569</w:t>
            </w:r>
          </w:p>
        </w:tc>
        <w:tc>
          <w:tcPr>
            <w:tcW w:w="1300" w:type="dxa"/>
            <w:tcBorders>
              <w:top w:val="nil"/>
              <w:left w:val="nil"/>
              <w:bottom w:val="single" w:sz="4" w:space="0" w:color="auto"/>
              <w:right w:val="single" w:sz="4" w:space="0" w:color="auto"/>
            </w:tcBorders>
            <w:shd w:val="clear" w:color="auto" w:fill="auto"/>
            <w:vAlign w:val="center"/>
            <w:hideMark/>
          </w:tcPr>
          <w:p w14:paraId="15BE0460"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0</w:t>
            </w:r>
          </w:p>
        </w:tc>
        <w:tc>
          <w:tcPr>
            <w:tcW w:w="1360" w:type="dxa"/>
            <w:tcBorders>
              <w:top w:val="nil"/>
              <w:left w:val="nil"/>
              <w:bottom w:val="single" w:sz="4" w:space="0" w:color="auto"/>
              <w:right w:val="single" w:sz="4" w:space="0" w:color="auto"/>
            </w:tcBorders>
            <w:shd w:val="clear" w:color="auto" w:fill="auto"/>
            <w:vAlign w:val="center"/>
            <w:hideMark/>
          </w:tcPr>
          <w:p w14:paraId="35BA96CA"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0</w:t>
            </w:r>
          </w:p>
        </w:tc>
      </w:tr>
      <w:tr w:rsidR="002252C6" w14:paraId="271575A4" w14:textId="77777777" w:rsidTr="00380DE4">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3A3E4963" w14:textId="77777777" w:rsidR="00380DE4" w:rsidRPr="00380DE4" w:rsidRDefault="00A724BF" w:rsidP="00380DE4">
            <w:pPr>
              <w:rPr>
                <w:rFonts w:cs="Arial"/>
                <w:spacing w:val="0"/>
                <w:sz w:val="22"/>
                <w:szCs w:val="22"/>
                <w:lang w:eastAsia="en-GB"/>
              </w:rPr>
            </w:pPr>
            <w:r w:rsidRPr="00380DE4">
              <w:rPr>
                <w:rFonts w:cs="Arial"/>
                <w:spacing w:val="0"/>
                <w:sz w:val="22"/>
                <w:szCs w:val="22"/>
                <w:lang w:eastAsia="en-GB"/>
              </w:rPr>
              <w:t>Other long-term liabilities</w:t>
            </w:r>
          </w:p>
        </w:tc>
        <w:tc>
          <w:tcPr>
            <w:tcW w:w="1200" w:type="dxa"/>
            <w:tcBorders>
              <w:top w:val="nil"/>
              <w:left w:val="nil"/>
              <w:bottom w:val="single" w:sz="4" w:space="0" w:color="auto"/>
              <w:right w:val="single" w:sz="4" w:space="0" w:color="auto"/>
            </w:tcBorders>
            <w:shd w:val="clear" w:color="auto" w:fill="auto"/>
            <w:vAlign w:val="center"/>
            <w:hideMark/>
          </w:tcPr>
          <w:p w14:paraId="02924105"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0</w:t>
            </w:r>
          </w:p>
        </w:tc>
        <w:tc>
          <w:tcPr>
            <w:tcW w:w="1300" w:type="dxa"/>
            <w:tcBorders>
              <w:top w:val="nil"/>
              <w:left w:val="nil"/>
              <w:bottom w:val="single" w:sz="4" w:space="0" w:color="auto"/>
              <w:right w:val="single" w:sz="4" w:space="0" w:color="auto"/>
            </w:tcBorders>
            <w:shd w:val="clear" w:color="auto" w:fill="auto"/>
            <w:vAlign w:val="center"/>
            <w:hideMark/>
          </w:tcPr>
          <w:p w14:paraId="3FD51F6E"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0</w:t>
            </w:r>
          </w:p>
        </w:tc>
        <w:tc>
          <w:tcPr>
            <w:tcW w:w="1300" w:type="dxa"/>
            <w:tcBorders>
              <w:top w:val="nil"/>
              <w:left w:val="nil"/>
              <w:bottom w:val="single" w:sz="4" w:space="0" w:color="auto"/>
              <w:right w:val="single" w:sz="4" w:space="0" w:color="auto"/>
            </w:tcBorders>
            <w:shd w:val="clear" w:color="auto" w:fill="auto"/>
            <w:vAlign w:val="center"/>
            <w:hideMark/>
          </w:tcPr>
          <w:p w14:paraId="6E2384CB"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0</w:t>
            </w:r>
          </w:p>
        </w:tc>
        <w:tc>
          <w:tcPr>
            <w:tcW w:w="1300" w:type="dxa"/>
            <w:tcBorders>
              <w:top w:val="nil"/>
              <w:left w:val="nil"/>
              <w:bottom w:val="single" w:sz="4" w:space="0" w:color="auto"/>
              <w:right w:val="single" w:sz="4" w:space="0" w:color="auto"/>
            </w:tcBorders>
            <w:shd w:val="clear" w:color="auto" w:fill="auto"/>
            <w:vAlign w:val="center"/>
            <w:hideMark/>
          </w:tcPr>
          <w:p w14:paraId="63AA5BAD"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0</w:t>
            </w:r>
          </w:p>
        </w:tc>
        <w:tc>
          <w:tcPr>
            <w:tcW w:w="1360" w:type="dxa"/>
            <w:tcBorders>
              <w:top w:val="nil"/>
              <w:left w:val="nil"/>
              <w:bottom w:val="single" w:sz="4" w:space="0" w:color="auto"/>
              <w:right w:val="single" w:sz="4" w:space="0" w:color="auto"/>
            </w:tcBorders>
            <w:shd w:val="clear" w:color="auto" w:fill="auto"/>
            <w:vAlign w:val="center"/>
            <w:hideMark/>
          </w:tcPr>
          <w:p w14:paraId="198BE679"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0</w:t>
            </w:r>
          </w:p>
        </w:tc>
      </w:tr>
      <w:tr w:rsidR="002252C6" w14:paraId="66C49AB2" w14:textId="77777777" w:rsidTr="00380DE4">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7D4EEB91" w14:textId="77777777" w:rsidR="00380DE4" w:rsidRPr="00380DE4" w:rsidRDefault="00A724BF" w:rsidP="00380DE4">
            <w:pPr>
              <w:rPr>
                <w:rFonts w:cs="Arial"/>
                <w:spacing w:val="0"/>
                <w:sz w:val="22"/>
                <w:szCs w:val="22"/>
                <w:lang w:eastAsia="en-GB"/>
              </w:rPr>
            </w:pPr>
            <w:r w:rsidRPr="00380DE4">
              <w:rPr>
                <w:rFonts w:cs="Arial"/>
                <w:spacing w:val="0"/>
                <w:sz w:val="22"/>
                <w:szCs w:val="22"/>
                <w:lang w:eastAsia="en-GB"/>
              </w:rPr>
              <w:t>Less MRP</w:t>
            </w:r>
          </w:p>
        </w:tc>
        <w:tc>
          <w:tcPr>
            <w:tcW w:w="1200" w:type="dxa"/>
            <w:tcBorders>
              <w:top w:val="nil"/>
              <w:left w:val="nil"/>
              <w:bottom w:val="single" w:sz="4" w:space="0" w:color="auto"/>
              <w:right w:val="single" w:sz="4" w:space="0" w:color="auto"/>
            </w:tcBorders>
            <w:shd w:val="clear" w:color="auto" w:fill="auto"/>
            <w:vAlign w:val="center"/>
            <w:hideMark/>
          </w:tcPr>
          <w:p w14:paraId="57B01575"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(1,416)</w:t>
            </w:r>
          </w:p>
        </w:tc>
        <w:tc>
          <w:tcPr>
            <w:tcW w:w="1300" w:type="dxa"/>
            <w:tcBorders>
              <w:top w:val="nil"/>
              <w:left w:val="nil"/>
              <w:bottom w:val="single" w:sz="4" w:space="0" w:color="auto"/>
              <w:right w:val="single" w:sz="4" w:space="0" w:color="auto"/>
            </w:tcBorders>
            <w:shd w:val="clear" w:color="auto" w:fill="auto"/>
            <w:vAlign w:val="center"/>
            <w:hideMark/>
          </w:tcPr>
          <w:p w14:paraId="1934060B"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(1,439)</w:t>
            </w:r>
          </w:p>
        </w:tc>
        <w:tc>
          <w:tcPr>
            <w:tcW w:w="1300" w:type="dxa"/>
            <w:tcBorders>
              <w:top w:val="nil"/>
              <w:left w:val="nil"/>
              <w:bottom w:val="single" w:sz="4" w:space="0" w:color="auto"/>
              <w:right w:val="single" w:sz="4" w:space="0" w:color="auto"/>
            </w:tcBorders>
            <w:shd w:val="clear" w:color="auto" w:fill="auto"/>
            <w:vAlign w:val="center"/>
            <w:hideMark/>
          </w:tcPr>
          <w:p w14:paraId="7BD893FB"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(1,464)</w:t>
            </w:r>
          </w:p>
        </w:tc>
        <w:tc>
          <w:tcPr>
            <w:tcW w:w="1300" w:type="dxa"/>
            <w:tcBorders>
              <w:top w:val="nil"/>
              <w:left w:val="nil"/>
              <w:bottom w:val="single" w:sz="4" w:space="0" w:color="auto"/>
              <w:right w:val="single" w:sz="4" w:space="0" w:color="auto"/>
            </w:tcBorders>
            <w:shd w:val="clear" w:color="auto" w:fill="auto"/>
            <w:vAlign w:val="center"/>
            <w:hideMark/>
          </w:tcPr>
          <w:p w14:paraId="3EB20908"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(2,028)</w:t>
            </w:r>
          </w:p>
        </w:tc>
        <w:tc>
          <w:tcPr>
            <w:tcW w:w="1360" w:type="dxa"/>
            <w:tcBorders>
              <w:top w:val="nil"/>
              <w:left w:val="nil"/>
              <w:bottom w:val="single" w:sz="4" w:space="0" w:color="auto"/>
              <w:right w:val="single" w:sz="4" w:space="0" w:color="auto"/>
            </w:tcBorders>
            <w:shd w:val="clear" w:color="auto" w:fill="auto"/>
            <w:vAlign w:val="center"/>
            <w:hideMark/>
          </w:tcPr>
          <w:p w14:paraId="4F1153B1"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(2,101)</w:t>
            </w:r>
          </w:p>
        </w:tc>
      </w:tr>
      <w:tr w:rsidR="002252C6" w14:paraId="4ABEAC4A" w14:textId="77777777" w:rsidTr="00380DE4">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1F6F8000" w14:textId="77777777" w:rsidR="00380DE4" w:rsidRPr="00380DE4" w:rsidRDefault="00A724BF" w:rsidP="00380DE4">
            <w:pPr>
              <w:rPr>
                <w:rFonts w:cs="Arial"/>
                <w:spacing w:val="0"/>
                <w:sz w:val="22"/>
                <w:szCs w:val="22"/>
                <w:lang w:eastAsia="en-GB"/>
              </w:rPr>
            </w:pPr>
            <w:r w:rsidRPr="00380DE4">
              <w:rPr>
                <w:rFonts w:cs="Arial"/>
                <w:spacing w:val="0"/>
                <w:sz w:val="22"/>
                <w:szCs w:val="22"/>
                <w:lang w:eastAsia="en-GB"/>
              </w:rPr>
              <w:t>Less use of internal funds</w:t>
            </w:r>
          </w:p>
        </w:tc>
        <w:tc>
          <w:tcPr>
            <w:tcW w:w="1200" w:type="dxa"/>
            <w:tcBorders>
              <w:top w:val="nil"/>
              <w:left w:val="nil"/>
              <w:bottom w:val="single" w:sz="4" w:space="0" w:color="auto"/>
              <w:right w:val="single" w:sz="4" w:space="0" w:color="auto"/>
            </w:tcBorders>
            <w:shd w:val="clear" w:color="auto" w:fill="auto"/>
            <w:vAlign w:val="center"/>
            <w:hideMark/>
          </w:tcPr>
          <w:p w14:paraId="138E319B"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(22,181)</w:t>
            </w:r>
          </w:p>
        </w:tc>
        <w:tc>
          <w:tcPr>
            <w:tcW w:w="1300" w:type="dxa"/>
            <w:tcBorders>
              <w:top w:val="nil"/>
              <w:left w:val="nil"/>
              <w:bottom w:val="single" w:sz="4" w:space="0" w:color="auto"/>
              <w:right w:val="single" w:sz="4" w:space="0" w:color="auto"/>
            </w:tcBorders>
            <w:shd w:val="clear" w:color="auto" w:fill="auto"/>
            <w:vAlign w:val="center"/>
            <w:hideMark/>
          </w:tcPr>
          <w:p w14:paraId="5111C439"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(22,181)</w:t>
            </w:r>
          </w:p>
        </w:tc>
        <w:tc>
          <w:tcPr>
            <w:tcW w:w="1300" w:type="dxa"/>
            <w:tcBorders>
              <w:top w:val="nil"/>
              <w:left w:val="nil"/>
              <w:bottom w:val="single" w:sz="4" w:space="0" w:color="auto"/>
              <w:right w:val="single" w:sz="4" w:space="0" w:color="auto"/>
            </w:tcBorders>
            <w:shd w:val="clear" w:color="auto" w:fill="auto"/>
            <w:vAlign w:val="center"/>
            <w:hideMark/>
          </w:tcPr>
          <w:p w14:paraId="31A1B266"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(22,181)</w:t>
            </w:r>
          </w:p>
        </w:tc>
        <w:tc>
          <w:tcPr>
            <w:tcW w:w="1300" w:type="dxa"/>
            <w:tcBorders>
              <w:top w:val="nil"/>
              <w:left w:val="nil"/>
              <w:bottom w:val="single" w:sz="4" w:space="0" w:color="auto"/>
              <w:right w:val="single" w:sz="4" w:space="0" w:color="auto"/>
            </w:tcBorders>
            <w:shd w:val="clear" w:color="auto" w:fill="auto"/>
            <w:vAlign w:val="center"/>
            <w:hideMark/>
          </w:tcPr>
          <w:p w14:paraId="2345B7EA"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(22,181)</w:t>
            </w:r>
          </w:p>
        </w:tc>
        <w:tc>
          <w:tcPr>
            <w:tcW w:w="1360" w:type="dxa"/>
            <w:tcBorders>
              <w:top w:val="nil"/>
              <w:left w:val="nil"/>
              <w:bottom w:val="single" w:sz="4" w:space="0" w:color="auto"/>
              <w:right w:val="single" w:sz="4" w:space="0" w:color="auto"/>
            </w:tcBorders>
            <w:shd w:val="clear" w:color="auto" w:fill="auto"/>
            <w:vAlign w:val="center"/>
            <w:hideMark/>
          </w:tcPr>
          <w:p w14:paraId="44AD6313"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(22,181)</w:t>
            </w:r>
          </w:p>
        </w:tc>
      </w:tr>
      <w:tr w:rsidR="002252C6" w14:paraId="19329A8D" w14:textId="77777777" w:rsidTr="00380DE4">
        <w:trPr>
          <w:trHeight w:val="85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0FE46B4D" w14:textId="77777777" w:rsidR="00380DE4" w:rsidRPr="00380DE4" w:rsidRDefault="00A724BF" w:rsidP="00380DE4">
            <w:pPr>
              <w:rPr>
                <w:rFonts w:cs="Arial"/>
                <w:spacing w:val="0"/>
                <w:sz w:val="22"/>
                <w:szCs w:val="22"/>
                <w:lang w:eastAsia="en-GB"/>
              </w:rPr>
            </w:pPr>
            <w:r w:rsidRPr="00380DE4">
              <w:rPr>
                <w:rFonts w:cs="Arial"/>
                <w:spacing w:val="0"/>
                <w:sz w:val="22"/>
                <w:szCs w:val="22"/>
                <w:lang w:eastAsia="en-GB"/>
              </w:rPr>
              <w:t xml:space="preserve">Actual gross debt </w:t>
            </w:r>
            <w:proofErr w:type="gramStart"/>
            <w:r w:rsidRPr="00380DE4">
              <w:rPr>
                <w:rFonts w:cs="Arial"/>
                <w:spacing w:val="0"/>
                <w:sz w:val="22"/>
                <w:szCs w:val="22"/>
                <w:lang w:eastAsia="en-GB"/>
              </w:rPr>
              <w:t>at</w:t>
            </w:r>
            <w:proofErr w:type="gramEnd"/>
            <w:r w:rsidRPr="00380DE4">
              <w:rPr>
                <w:rFonts w:cs="Arial"/>
                <w:spacing w:val="0"/>
                <w:sz w:val="22"/>
                <w:szCs w:val="22"/>
                <w:lang w:eastAsia="en-GB"/>
              </w:rPr>
              <w:t xml:space="preserve"> 31 March including finance leases</w:t>
            </w:r>
          </w:p>
        </w:tc>
        <w:tc>
          <w:tcPr>
            <w:tcW w:w="1200" w:type="dxa"/>
            <w:tcBorders>
              <w:top w:val="nil"/>
              <w:left w:val="nil"/>
              <w:bottom w:val="single" w:sz="4" w:space="0" w:color="auto"/>
              <w:right w:val="single" w:sz="4" w:space="0" w:color="auto"/>
            </w:tcBorders>
            <w:shd w:val="clear" w:color="auto" w:fill="auto"/>
            <w:vAlign w:val="center"/>
            <w:hideMark/>
          </w:tcPr>
          <w:p w14:paraId="48F52956" w14:textId="77777777" w:rsidR="00380DE4" w:rsidRPr="00380DE4" w:rsidRDefault="00A724BF" w:rsidP="00380DE4">
            <w:pPr>
              <w:jc w:val="right"/>
              <w:rPr>
                <w:rFonts w:cs="Arial"/>
                <w:b/>
                <w:bCs/>
                <w:spacing w:val="0"/>
                <w:sz w:val="22"/>
                <w:szCs w:val="22"/>
                <w:lang w:eastAsia="en-GB"/>
              </w:rPr>
            </w:pPr>
            <w:r w:rsidRPr="00380DE4">
              <w:rPr>
                <w:rFonts w:cs="Arial"/>
                <w:b/>
                <w:bCs/>
                <w:spacing w:val="0"/>
                <w:sz w:val="22"/>
                <w:szCs w:val="22"/>
                <w:lang w:eastAsia="en-GB"/>
              </w:rPr>
              <w:t>66,714</w:t>
            </w:r>
          </w:p>
        </w:tc>
        <w:tc>
          <w:tcPr>
            <w:tcW w:w="1300" w:type="dxa"/>
            <w:tcBorders>
              <w:top w:val="nil"/>
              <w:left w:val="nil"/>
              <w:bottom w:val="single" w:sz="4" w:space="0" w:color="auto"/>
              <w:right w:val="single" w:sz="4" w:space="0" w:color="auto"/>
            </w:tcBorders>
            <w:shd w:val="clear" w:color="auto" w:fill="auto"/>
            <w:vAlign w:val="center"/>
            <w:hideMark/>
          </w:tcPr>
          <w:p w14:paraId="003FA336" w14:textId="77777777" w:rsidR="00380DE4" w:rsidRPr="00380DE4" w:rsidRDefault="00A724BF" w:rsidP="00380DE4">
            <w:pPr>
              <w:jc w:val="right"/>
              <w:rPr>
                <w:rFonts w:cs="Arial"/>
                <w:b/>
                <w:bCs/>
                <w:spacing w:val="0"/>
                <w:sz w:val="22"/>
                <w:szCs w:val="22"/>
                <w:lang w:eastAsia="en-GB"/>
              </w:rPr>
            </w:pPr>
            <w:r w:rsidRPr="00380DE4">
              <w:rPr>
                <w:rFonts w:cs="Arial"/>
                <w:b/>
                <w:bCs/>
                <w:spacing w:val="0"/>
                <w:sz w:val="22"/>
                <w:szCs w:val="22"/>
                <w:lang w:eastAsia="en-GB"/>
              </w:rPr>
              <w:t>65,275</w:t>
            </w:r>
          </w:p>
        </w:tc>
        <w:tc>
          <w:tcPr>
            <w:tcW w:w="1300" w:type="dxa"/>
            <w:tcBorders>
              <w:top w:val="nil"/>
              <w:left w:val="nil"/>
              <w:bottom w:val="single" w:sz="4" w:space="0" w:color="auto"/>
              <w:right w:val="single" w:sz="4" w:space="0" w:color="auto"/>
            </w:tcBorders>
            <w:shd w:val="clear" w:color="auto" w:fill="auto"/>
            <w:vAlign w:val="center"/>
            <w:hideMark/>
          </w:tcPr>
          <w:p w14:paraId="2464EF5D" w14:textId="77777777" w:rsidR="00380DE4" w:rsidRPr="00380DE4" w:rsidRDefault="00A724BF" w:rsidP="00380DE4">
            <w:pPr>
              <w:jc w:val="right"/>
              <w:rPr>
                <w:rFonts w:cs="Arial"/>
                <w:b/>
                <w:bCs/>
                <w:spacing w:val="0"/>
                <w:sz w:val="22"/>
                <w:szCs w:val="22"/>
                <w:lang w:eastAsia="en-GB"/>
              </w:rPr>
            </w:pPr>
            <w:r w:rsidRPr="00380DE4">
              <w:rPr>
                <w:rFonts w:cs="Arial"/>
                <w:b/>
                <w:bCs/>
                <w:spacing w:val="0"/>
                <w:sz w:val="22"/>
                <w:szCs w:val="22"/>
                <w:lang w:eastAsia="en-GB"/>
              </w:rPr>
              <w:t>113,380</w:t>
            </w:r>
          </w:p>
        </w:tc>
        <w:tc>
          <w:tcPr>
            <w:tcW w:w="1300" w:type="dxa"/>
            <w:tcBorders>
              <w:top w:val="nil"/>
              <w:left w:val="nil"/>
              <w:bottom w:val="single" w:sz="4" w:space="0" w:color="auto"/>
              <w:right w:val="single" w:sz="4" w:space="0" w:color="auto"/>
            </w:tcBorders>
            <w:shd w:val="clear" w:color="auto" w:fill="auto"/>
            <w:vAlign w:val="center"/>
            <w:hideMark/>
          </w:tcPr>
          <w:p w14:paraId="4F3F84B9" w14:textId="77777777" w:rsidR="00380DE4" w:rsidRPr="00380DE4" w:rsidRDefault="00A724BF" w:rsidP="00380DE4">
            <w:pPr>
              <w:jc w:val="right"/>
              <w:rPr>
                <w:rFonts w:cs="Arial"/>
                <w:b/>
                <w:bCs/>
                <w:spacing w:val="0"/>
                <w:sz w:val="22"/>
                <w:szCs w:val="22"/>
                <w:lang w:eastAsia="en-GB"/>
              </w:rPr>
            </w:pPr>
            <w:r w:rsidRPr="00380DE4">
              <w:rPr>
                <w:rFonts w:cs="Arial"/>
                <w:b/>
                <w:bCs/>
                <w:spacing w:val="0"/>
                <w:sz w:val="22"/>
                <w:szCs w:val="22"/>
                <w:lang w:eastAsia="en-GB"/>
              </w:rPr>
              <w:t>111,352</w:t>
            </w:r>
          </w:p>
        </w:tc>
        <w:tc>
          <w:tcPr>
            <w:tcW w:w="1360" w:type="dxa"/>
            <w:tcBorders>
              <w:top w:val="nil"/>
              <w:left w:val="nil"/>
              <w:bottom w:val="single" w:sz="4" w:space="0" w:color="auto"/>
              <w:right w:val="single" w:sz="4" w:space="0" w:color="auto"/>
            </w:tcBorders>
            <w:shd w:val="clear" w:color="auto" w:fill="auto"/>
            <w:vAlign w:val="center"/>
            <w:hideMark/>
          </w:tcPr>
          <w:p w14:paraId="52D38F70" w14:textId="77777777" w:rsidR="00380DE4" w:rsidRPr="00380DE4" w:rsidRDefault="00A724BF" w:rsidP="00380DE4">
            <w:pPr>
              <w:jc w:val="right"/>
              <w:rPr>
                <w:rFonts w:cs="Arial"/>
                <w:b/>
                <w:bCs/>
                <w:spacing w:val="0"/>
                <w:sz w:val="22"/>
                <w:szCs w:val="22"/>
                <w:lang w:eastAsia="en-GB"/>
              </w:rPr>
            </w:pPr>
            <w:r w:rsidRPr="00380DE4">
              <w:rPr>
                <w:rFonts w:cs="Arial"/>
                <w:b/>
                <w:bCs/>
                <w:spacing w:val="0"/>
                <w:sz w:val="22"/>
                <w:szCs w:val="22"/>
                <w:lang w:eastAsia="en-GB"/>
              </w:rPr>
              <w:t>109,251</w:t>
            </w:r>
          </w:p>
        </w:tc>
      </w:tr>
      <w:tr w:rsidR="002252C6" w14:paraId="0ED55C55" w14:textId="77777777" w:rsidTr="00380DE4">
        <w:trPr>
          <w:trHeight w:val="570"/>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455FC50D" w14:textId="77777777" w:rsidR="00380DE4" w:rsidRPr="00380DE4" w:rsidRDefault="00A724BF" w:rsidP="00380DE4">
            <w:pPr>
              <w:rPr>
                <w:rFonts w:cs="Arial"/>
                <w:spacing w:val="0"/>
                <w:sz w:val="22"/>
                <w:szCs w:val="22"/>
                <w:lang w:eastAsia="en-GB"/>
              </w:rPr>
            </w:pPr>
            <w:r w:rsidRPr="00380DE4">
              <w:rPr>
                <w:rFonts w:cs="Arial"/>
                <w:spacing w:val="0"/>
                <w:sz w:val="22"/>
                <w:szCs w:val="22"/>
                <w:lang w:eastAsia="en-GB"/>
              </w:rPr>
              <w:t>The Capital Financing Requirement</w:t>
            </w:r>
          </w:p>
        </w:tc>
        <w:tc>
          <w:tcPr>
            <w:tcW w:w="1200" w:type="dxa"/>
            <w:tcBorders>
              <w:top w:val="nil"/>
              <w:left w:val="nil"/>
              <w:bottom w:val="single" w:sz="4" w:space="0" w:color="auto"/>
              <w:right w:val="single" w:sz="4" w:space="0" w:color="auto"/>
            </w:tcBorders>
            <w:shd w:val="clear" w:color="auto" w:fill="auto"/>
            <w:vAlign w:val="center"/>
            <w:hideMark/>
          </w:tcPr>
          <w:p w14:paraId="0617558C" w14:textId="77777777" w:rsidR="00380DE4" w:rsidRPr="00380DE4" w:rsidRDefault="00A724BF" w:rsidP="00380DE4">
            <w:pPr>
              <w:jc w:val="right"/>
              <w:rPr>
                <w:rFonts w:cs="Arial"/>
                <w:b/>
                <w:bCs/>
                <w:spacing w:val="0"/>
                <w:sz w:val="22"/>
                <w:szCs w:val="22"/>
                <w:lang w:eastAsia="en-GB"/>
              </w:rPr>
            </w:pPr>
            <w:r w:rsidRPr="00380DE4">
              <w:rPr>
                <w:rFonts w:cs="Arial"/>
                <w:b/>
                <w:bCs/>
                <w:spacing w:val="0"/>
                <w:sz w:val="22"/>
                <w:szCs w:val="22"/>
                <w:lang w:eastAsia="en-GB"/>
              </w:rPr>
              <w:t>88,895</w:t>
            </w:r>
          </w:p>
        </w:tc>
        <w:tc>
          <w:tcPr>
            <w:tcW w:w="1300" w:type="dxa"/>
            <w:tcBorders>
              <w:top w:val="nil"/>
              <w:left w:val="nil"/>
              <w:bottom w:val="single" w:sz="4" w:space="0" w:color="auto"/>
              <w:right w:val="single" w:sz="4" w:space="0" w:color="auto"/>
            </w:tcBorders>
            <w:shd w:val="clear" w:color="auto" w:fill="auto"/>
            <w:vAlign w:val="center"/>
            <w:hideMark/>
          </w:tcPr>
          <w:p w14:paraId="48399CD2" w14:textId="77777777" w:rsidR="00380DE4" w:rsidRPr="00380DE4" w:rsidRDefault="00A724BF" w:rsidP="00380DE4">
            <w:pPr>
              <w:jc w:val="right"/>
              <w:rPr>
                <w:rFonts w:cs="Arial"/>
                <w:b/>
                <w:bCs/>
                <w:spacing w:val="0"/>
                <w:sz w:val="22"/>
                <w:szCs w:val="22"/>
                <w:lang w:eastAsia="en-GB"/>
              </w:rPr>
            </w:pPr>
            <w:r w:rsidRPr="00380DE4">
              <w:rPr>
                <w:rFonts w:cs="Arial"/>
                <w:b/>
                <w:bCs/>
                <w:spacing w:val="0"/>
                <w:sz w:val="22"/>
                <w:szCs w:val="22"/>
                <w:lang w:eastAsia="en-GB"/>
              </w:rPr>
              <w:t>87,456</w:t>
            </w:r>
          </w:p>
        </w:tc>
        <w:tc>
          <w:tcPr>
            <w:tcW w:w="1300" w:type="dxa"/>
            <w:tcBorders>
              <w:top w:val="nil"/>
              <w:left w:val="nil"/>
              <w:bottom w:val="single" w:sz="4" w:space="0" w:color="auto"/>
              <w:right w:val="single" w:sz="4" w:space="0" w:color="auto"/>
            </w:tcBorders>
            <w:shd w:val="clear" w:color="auto" w:fill="auto"/>
            <w:vAlign w:val="center"/>
            <w:hideMark/>
          </w:tcPr>
          <w:p w14:paraId="654210A2" w14:textId="77777777" w:rsidR="00380DE4" w:rsidRPr="00380DE4" w:rsidRDefault="00A724BF" w:rsidP="00380DE4">
            <w:pPr>
              <w:jc w:val="right"/>
              <w:rPr>
                <w:rFonts w:cs="Arial"/>
                <w:b/>
                <w:bCs/>
                <w:spacing w:val="0"/>
                <w:sz w:val="22"/>
                <w:szCs w:val="22"/>
                <w:lang w:eastAsia="en-GB"/>
              </w:rPr>
            </w:pPr>
            <w:r w:rsidRPr="00380DE4">
              <w:rPr>
                <w:rFonts w:cs="Arial"/>
                <w:b/>
                <w:bCs/>
                <w:spacing w:val="0"/>
                <w:sz w:val="22"/>
                <w:szCs w:val="22"/>
                <w:lang w:eastAsia="en-GB"/>
              </w:rPr>
              <w:t>135,561</w:t>
            </w:r>
          </w:p>
        </w:tc>
        <w:tc>
          <w:tcPr>
            <w:tcW w:w="1300" w:type="dxa"/>
            <w:tcBorders>
              <w:top w:val="nil"/>
              <w:left w:val="nil"/>
              <w:bottom w:val="single" w:sz="4" w:space="0" w:color="auto"/>
              <w:right w:val="single" w:sz="4" w:space="0" w:color="auto"/>
            </w:tcBorders>
            <w:shd w:val="clear" w:color="auto" w:fill="auto"/>
            <w:vAlign w:val="center"/>
            <w:hideMark/>
          </w:tcPr>
          <w:p w14:paraId="328509B8" w14:textId="77777777" w:rsidR="00380DE4" w:rsidRPr="00380DE4" w:rsidRDefault="00A724BF" w:rsidP="00380DE4">
            <w:pPr>
              <w:jc w:val="right"/>
              <w:rPr>
                <w:rFonts w:cs="Arial"/>
                <w:b/>
                <w:bCs/>
                <w:spacing w:val="0"/>
                <w:sz w:val="22"/>
                <w:szCs w:val="22"/>
                <w:lang w:eastAsia="en-GB"/>
              </w:rPr>
            </w:pPr>
            <w:r w:rsidRPr="00380DE4">
              <w:rPr>
                <w:rFonts w:cs="Arial"/>
                <w:b/>
                <w:bCs/>
                <w:spacing w:val="0"/>
                <w:sz w:val="22"/>
                <w:szCs w:val="22"/>
                <w:lang w:eastAsia="en-GB"/>
              </w:rPr>
              <w:t>133,533</w:t>
            </w:r>
          </w:p>
        </w:tc>
        <w:tc>
          <w:tcPr>
            <w:tcW w:w="1360" w:type="dxa"/>
            <w:tcBorders>
              <w:top w:val="nil"/>
              <w:left w:val="nil"/>
              <w:bottom w:val="single" w:sz="4" w:space="0" w:color="auto"/>
              <w:right w:val="single" w:sz="4" w:space="0" w:color="auto"/>
            </w:tcBorders>
            <w:shd w:val="clear" w:color="auto" w:fill="auto"/>
            <w:vAlign w:val="center"/>
            <w:hideMark/>
          </w:tcPr>
          <w:p w14:paraId="34D29CC7" w14:textId="77777777" w:rsidR="00380DE4" w:rsidRPr="00380DE4" w:rsidRDefault="00A724BF" w:rsidP="00380DE4">
            <w:pPr>
              <w:jc w:val="right"/>
              <w:rPr>
                <w:rFonts w:cs="Arial"/>
                <w:b/>
                <w:bCs/>
                <w:spacing w:val="0"/>
                <w:sz w:val="22"/>
                <w:szCs w:val="22"/>
                <w:lang w:eastAsia="en-GB"/>
              </w:rPr>
            </w:pPr>
            <w:r w:rsidRPr="00380DE4">
              <w:rPr>
                <w:rFonts w:cs="Arial"/>
                <w:b/>
                <w:bCs/>
                <w:spacing w:val="0"/>
                <w:sz w:val="22"/>
                <w:szCs w:val="22"/>
                <w:lang w:eastAsia="en-GB"/>
              </w:rPr>
              <w:t>131,432</w:t>
            </w:r>
          </w:p>
        </w:tc>
      </w:tr>
      <w:tr w:rsidR="002252C6" w14:paraId="5610B9E3" w14:textId="77777777" w:rsidTr="00380DE4">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2A43DAC8" w14:textId="77777777" w:rsidR="00380DE4" w:rsidRPr="00380DE4" w:rsidRDefault="00A724BF" w:rsidP="00380DE4">
            <w:pPr>
              <w:rPr>
                <w:rFonts w:cs="Arial"/>
                <w:spacing w:val="0"/>
                <w:sz w:val="22"/>
                <w:szCs w:val="22"/>
                <w:lang w:eastAsia="en-GB"/>
              </w:rPr>
            </w:pPr>
            <w:r w:rsidRPr="00380DE4">
              <w:rPr>
                <w:rFonts w:cs="Arial"/>
                <w:spacing w:val="0"/>
                <w:sz w:val="22"/>
                <w:szCs w:val="22"/>
                <w:lang w:eastAsia="en-GB"/>
              </w:rPr>
              <w:t>(Under)/over borrowing**</w:t>
            </w:r>
          </w:p>
        </w:tc>
        <w:tc>
          <w:tcPr>
            <w:tcW w:w="1200" w:type="dxa"/>
            <w:tcBorders>
              <w:top w:val="nil"/>
              <w:left w:val="nil"/>
              <w:bottom w:val="single" w:sz="4" w:space="0" w:color="auto"/>
              <w:right w:val="single" w:sz="4" w:space="0" w:color="auto"/>
            </w:tcBorders>
            <w:shd w:val="clear" w:color="auto" w:fill="auto"/>
            <w:vAlign w:val="center"/>
            <w:hideMark/>
          </w:tcPr>
          <w:p w14:paraId="082D0373" w14:textId="77777777" w:rsidR="00380DE4" w:rsidRPr="00380DE4" w:rsidRDefault="00A724BF" w:rsidP="00380DE4">
            <w:pPr>
              <w:jc w:val="right"/>
              <w:rPr>
                <w:rFonts w:cs="Arial"/>
                <w:b/>
                <w:bCs/>
                <w:spacing w:val="0"/>
                <w:sz w:val="22"/>
                <w:szCs w:val="22"/>
                <w:lang w:eastAsia="en-GB"/>
              </w:rPr>
            </w:pPr>
            <w:r w:rsidRPr="00380DE4">
              <w:rPr>
                <w:rFonts w:cs="Arial"/>
                <w:b/>
                <w:bCs/>
                <w:spacing w:val="0"/>
                <w:sz w:val="22"/>
                <w:szCs w:val="22"/>
                <w:lang w:eastAsia="en-GB"/>
              </w:rPr>
              <w:t>(22,181)</w:t>
            </w:r>
          </w:p>
        </w:tc>
        <w:tc>
          <w:tcPr>
            <w:tcW w:w="1300" w:type="dxa"/>
            <w:tcBorders>
              <w:top w:val="nil"/>
              <w:left w:val="nil"/>
              <w:bottom w:val="single" w:sz="4" w:space="0" w:color="auto"/>
              <w:right w:val="single" w:sz="4" w:space="0" w:color="auto"/>
            </w:tcBorders>
            <w:shd w:val="clear" w:color="auto" w:fill="auto"/>
            <w:vAlign w:val="center"/>
            <w:hideMark/>
          </w:tcPr>
          <w:p w14:paraId="41EA0F9F" w14:textId="77777777" w:rsidR="00380DE4" w:rsidRPr="00380DE4" w:rsidRDefault="00A724BF" w:rsidP="00380DE4">
            <w:pPr>
              <w:jc w:val="right"/>
              <w:rPr>
                <w:rFonts w:cs="Arial"/>
                <w:b/>
                <w:bCs/>
                <w:spacing w:val="0"/>
                <w:sz w:val="22"/>
                <w:szCs w:val="22"/>
                <w:lang w:eastAsia="en-GB"/>
              </w:rPr>
            </w:pPr>
            <w:r w:rsidRPr="00380DE4">
              <w:rPr>
                <w:rFonts w:cs="Arial"/>
                <w:b/>
                <w:bCs/>
                <w:spacing w:val="0"/>
                <w:sz w:val="22"/>
                <w:szCs w:val="22"/>
                <w:lang w:eastAsia="en-GB"/>
              </w:rPr>
              <w:t>(22,180)</w:t>
            </w:r>
          </w:p>
        </w:tc>
        <w:tc>
          <w:tcPr>
            <w:tcW w:w="1300" w:type="dxa"/>
            <w:tcBorders>
              <w:top w:val="nil"/>
              <w:left w:val="nil"/>
              <w:bottom w:val="single" w:sz="4" w:space="0" w:color="auto"/>
              <w:right w:val="single" w:sz="4" w:space="0" w:color="auto"/>
            </w:tcBorders>
            <w:shd w:val="clear" w:color="auto" w:fill="auto"/>
            <w:vAlign w:val="center"/>
            <w:hideMark/>
          </w:tcPr>
          <w:p w14:paraId="4B660D1E" w14:textId="77777777" w:rsidR="00380DE4" w:rsidRPr="00380DE4" w:rsidRDefault="00A724BF" w:rsidP="00380DE4">
            <w:pPr>
              <w:jc w:val="right"/>
              <w:rPr>
                <w:rFonts w:cs="Arial"/>
                <w:b/>
                <w:bCs/>
                <w:spacing w:val="0"/>
                <w:sz w:val="22"/>
                <w:szCs w:val="22"/>
                <w:lang w:eastAsia="en-GB"/>
              </w:rPr>
            </w:pPr>
            <w:r w:rsidRPr="00380DE4">
              <w:rPr>
                <w:rFonts w:cs="Arial"/>
                <w:b/>
                <w:bCs/>
                <w:spacing w:val="0"/>
                <w:sz w:val="22"/>
                <w:szCs w:val="22"/>
                <w:lang w:eastAsia="en-GB"/>
              </w:rPr>
              <w:t>(22,180)</w:t>
            </w:r>
          </w:p>
        </w:tc>
        <w:tc>
          <w:tcPr>
            <w:tcW w:w="1300" w:type="dxa"/>
            <w:tcBorders>
              <w:top w:val="nil"/>
              <w:left w:val="nil"/>
              <w:bottom w:val="single" w:sz="4" w:space="0" w:color="auto"/>
              <w:right w:val="single" w:sz="4" w:space="0" w:color="auto"/>
            </w:tcBorders>
            <w:shd w:val="clear" w:color="auto" w:fill="auto"/>
            <w:vAlign w:val="center"/>
            <w:hideMark/>
          </w:tcPr>
          <w:p w14:paraId="2512273E" w14:textId="77777777" w:rsidR="00380DE4" w:rsidRPr="00380DE4" w:rsidRDefault="00A724BF" w:rsidP="00380DE4">
            <w:pPr>
              <w:jc w:val="right"/>
              <w:rPr>
                <w:rFonts w:cs="Arial"/>
                <w:b/>
                <w:bCs/>
                <w:spacing w:val="0"/>
                <w:sz w:val="22"/>
                <w:szCs w:val="22"/>
                <w:lang w:eastAsia="en-GB"/>
              </w:rPr>
            </w:pPr>
            <w:r w:rsidRPr="00380DE4">
              <w:rPr>
                <w:rFonts w:cs="Arial"/>
                <w:b/>
                <w:bCs/>
                <w:spacing w:val="0"/>
                <w:sz w:val="22"/>
                <w:szCs w:val="22"/>
                <w:lang w:eastAsia="en-GB"/>
              </w:rPr>
              <w:t>(22,181)</w:t>
            </w:r>
          </w:p>
        </w:tc>
        <w:tc>
          <w:tcPr>
            <w:tcW w:w="1360" w:type="dxa"/>
            <w:tcBorders>
              <w:top w:val="nil"/>
              <w:left w:val="nil"/>
              <w:bottom w:val="single" w:sz="4" w:space="0" w:color="auto"/>
              <w:right w:val="single" w:sz="4" w:space="0" w:color="auto"/>
            </w:tcBorders>
            <w:shd w:val="clear" w:color="auto" w:fill="auto"/>
            <w:vAlign w:val="center"/>
            <w:hideMark/>
          </w:tcPr>
          <w:p w14:paraId="44784C37" w14:textId="77777777" w:rsidR="00380DE4" w:rsidRPr="00380DE4" w:rsidRDefault="00A724BF" w:rsidP="00380DE4">
            <w:pPr>
              <w:jc w:val="right"/>
              <w:rPr>
                <w:rFonts w:cs="Arial"/>
                <w:b/>
                <w:bCs/>
                <w:spacing w:val="0"/>
                <w:sz w:val="22"/>
                <w:szCs w:val="22"/>
                <w:lang w:eastAsia="en-GB"/>
              </w:rPr>
            </w:pPr>
            <w:r w:rsidRPr="00380DE4">
              <w:rPr>
                <w:rFonts w:cs="Arial"/>
                <w:b/>
                <w:bCs/>
                <w:spacing w:val="0"/>
                <w:sz w:val="22"/>
                <w:szCs w:val="22"/>
                <w:lang w:eastAsia="en-GB"/>
              </w:rPr>
              <w:t>(22,181)</w:t>
            </w:r>
          </w:p>
        </w:tc>
      </w:tr>
    </w:tbl>
    <w:p w14:paraId="5AB8267C" w14:textId="77777777" w:rsidR="00EB796A" w:rsidRPr="00B66EDA" w:rsidRDefault="00EB796A" w:rsidP="00421A63">
      <w:pPr>
        <w:pStyle w:val="BodyText"/>
        <w:spacing w:after="120"/>
        <w:ind w:left="360"/>
        <w:jc w:val="both"/>
        <w:rPr>
          <w:rFonts w:ascii="Arial" w:hAnsi="Arial" w:cs="Arial"/>
          <w:i/>
          <w:sz w:val="20"/>
          <w:szCs w:val="20"/>
          <w:lang w:val="en-GB"/>
        </w:rPr>
      </w:pPr>
    </w:p>
    <w:p w14:paraId="65A947E6" w14:textId="77777777" w:rsidR="00017CC8" w:rsidRPr="00B66EDA" w:rsidRDefault="00A724BF" w:rsidP="00421A63">
      <w:pPr>
        <w:pStyle w:val="BodyText"/>
        <w:spacing w:after="120"/>
        <w:jc w:val="both"/>
        <w:rPr>
          <w:rFonts w:ascii="Arial" w:hAnsi="Arial" w:cs="Arial"/>
          <w:sz w:val="20"/>
          <w:szCs w:val="20"/>
          <w:lang w:val="en-GB"/>
        </w:rPr>
      </w:pPr>
      <w:r w:rsidRPr="00B66EDA">
        <w:rPr>
          <w:rFonts w:ascii="Arial" w:hAnsi="Arial" w:cs="Arial"/>
          <w:sz w:val="20"/>
          <w:szCs w:val="20"/>
          <w:lang w:val="en-GB"/>
        </w:rPr>
        <w:t>Within the above figures the level of debt relating to commercial activities / non-financial investment is:</w:t>
      </w:r>
    </w:p>
    <w:tbl>
      <w:tblPr>
        <w:tblW w:w="9200" w:type="dxa"/>
        <w:tblLook w:val="04A0" w:firstRow="1" w:lastRow="0" w:firstColumn="1" w:lastColumn="0" w:noHBand="0" w:noVBand="1"/>
      </w:tblPr>
      <w:tblGrid>
        <w:gridCol w:w="2740"/>
        <w:gridCol w:w="1200"/>
        <w:gridCol w:w="1300"/>
        <w:gridCol w:w="1300"/>
        <w:gridCol w:w="1300"/>
        <w:gridCol w:w="1360"/>
      </w:tblGrid>
      <w:tr w:rsidR="002252C6" w14:paraId="511C84B9" w14:textId="77777777" w:rsidTr="00380DE4">
        <w:trPr>
          <w:trHeight w:val="315"/>
        </w:trPr>
        <w:tc>
          <w:tcPr>
            <w:tcW w:w="2740"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2A382F21" w14:textId="77777777" w:rsidR="00380DE4" w:rsidRPr="00380DE4" w:rsidRDefault="00A724BF" w:rsidP="00380DE4">
            <w:pPr>
              <w:rPr>
                <w:rFonts w:cs="Arial"/>
                <w:spacing w:val="0"/>
                <w:sz w:val="22"/>
                <w:szCs w:val="22"/>
                <w:lang w:eastAsia="en-GB"/>
              </w:rPr>
            </w:pPr>
            <w:r w:rsidRPr="00380DE4">
              <w:rPr>
                <w:rFonts w:cs="Arial"/>
                <w:spacing w:val="0"/>
                <w:sz w:val="22"/>
                <w:szCs w:val="22"/>
                <w:lang w:eastAsia="en-GB"/>
              </w:rPr>
              <w:t> </w:t>
            </w:r>
          </w:p>
        </w:tc>
        <w:tc>
          <w:tcPr>
            <w:tcW w:w="1200" w:type="dxa"/>
            <w:tcBorders>
              <w:top w:val="single" w:sz="4" w:space="0" w:color="auto"/>
              <w:left w:val="nil"/>
              <w:bottom w:val="single" w:sz="4" w:space="0" w:color="auto"/>
              <w:right w:val="single" w:sz="4" w:space="0" w:color="auto"/>
            </w:tcBorders>
            <w:shd w:val="clear" w:color="000000" w:fill="B3B3B3"/>
            <w:vAlign w:val="center"/>
            <w:hideMark/>
          </w:tcPr>
          <w:p w14:paraId="4874C008"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2021/22</w:t>
            </w:r>
          </w:p>
        </w:tc>
        <w:tc>
          <w:tcPr>
            <w:tcW w:w="1300" w:type="dxa"/>
            <w:tcBorders>
              <w:top w:val="single" w:sz="4" w:space="0" w:color="auto"/>
              <w:left w:val="nil"/>
              <w:bottom w:val="single" w:sz="4" w:space="0" w:color="auto"/>
              <w:right w:val="single" w:sz="4" w:space="0" w:color="auto"/>
            </w:tcBorders>
            <w:shd w:val="clear" w:color="000000" w:fill="B3B3B3"/>
            <w:vAlign w:val="center"/>
            <w:hideMark/>
          </w:tcPr>
          <w:p w14:paraId="41F7D1D7"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2022/23</w:t>
            </w:r>
          </w:p>
        </w:tc>
        <w:tc>
          <w:tcPr>
            <w:tcW w:w="1300" w:type="dxa"/>
            <w:tcBorders>
              <w:top w:val="single" w:sz="4" w:space="0" w:color="auto"/>
              <w:left w:val="nil"/>
              <w:bottom w:val="single" w:sz="4" w:space="0" w:color="auto"/>
              <w:right w:val="single" w:sz="4" w:space="0" w:color="auto"/>
            </w:tcBorders>
            <w:shd w:val="clear" w:color="000000" w:fill="B3B3B3"/>
            <w:vAlign w:val="center"/>
            <w:hideMark/>
          </w:tcPr>
          <w:p w14:paraId="5B3A0443"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2023/24</w:t>
            </w:r>
          </w:p>
        </w:tc>
        <w:tc>
          <w:tcPr>
            <w:tcW w:w="1300" w:type="dxa"/>
            <w:tcBorders>
              <w:top w:val="single" w:sz="4" w:space="0" w:color="auto"/>
              <w:left w:val="nil"/>
              <w:bottom w:val="single" w:sz="4" w:space="0" w:color="auto"/>
              <w:right w:val="single" w:sz="4" w:space="0" w:color="auto"/>
            </w:tcBorders>
            <w:shd w:val="clear" w:color="000000" w:fill="B3B3B3"/>
            <w:vAlign w:val="center"/>
            <w:hideMark/>
          </w:tcPr>
          <w:p w14:paraId="5BC27267"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2024/25</w:t>
            </w:r>
          </w:p>
        </w:tc>
        <w:tc>
          <w:tcPr>
            <w:tcW w:w="1360" w:type="dxa"/>
            <w:tcBorders>
              <w:top w:val="single" w:sz="4" w:space="0" w:color="auto"/>
              <w:left w:val="nil"/>
              <w:bottom w:val="single" w:sz="4" w:space="0" w:color="auto"/>
              <w:right w:val="single" w:sz="4" w:space="0" w:color="auto"/>
            </w:tcBorders>
            <w:shd w:val="clear" w:color="000000" w:fill="B3B3B3"/>
            <w:vAlign w:val="center"/>
            <w:hideMark/>
          </w:tcPr>
          <w:p w14:paraId="4DABC11E"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2025/26</w:t>
            </w:r>
          </w:p>
        </w:tc>
      </w:tr>
      <w:tr w:rsidR="002252C6" w14:paraId="115A419C" w14:textId="77777777" w:rsidTr="00380DE4">
        <w:trPr>
          <w:trHeight w:val="315"/>
        </w:trPr>
        <w:tc>
          <w:tcPr>
            <w:tcW w:w="2740" w:type="dxa"/>
            <w:vMerge/>
            <w:tcBorders>
              <w:top w:val="single" w:sz="4" w:space="0" w:color="auto"/>
              <w:left w:val="single" w:sz="4" w:space="0" w:color="auto"/>
              <w:bottom w:val="single" w:sz="4" w:space="0" w:color="auto"/>
              <w:right w:val="single" w:sz="4" w:space="0" w:color="auto"/>
            </w:tcBorders>
            <w:vAlign w:val="center"/>
            <w:hideMark/>
          </w:tcPr>
          <w:p w14:paraId="4E1C8B77" w14:textId="77777777" w:rsidR="00380DE4" w:rsidRPr="00380DE4" w:rsidRDefault="00380DE4" w:rsidP="00380DE4">
            <w:pPr>
              <w:rPr>
                <w:rFonts w:cs="Arial"/>
                <w:spacing w:val="0"/>
                <w:sz w:val="22"/>
                <w:szCs w:val="22"/>
                <w:lang w:eastAsia="en-GB"/>
              </w:rPr>
            </w:pPr>
          </w:p>
        </w:tc>
        <w:tc>
          <w:tcPr>
            <w:tcW w:w="1200" w:type="dxa"/>
            <w:tcBorders>
              <w:top w:val="nil"/>
              <w:left w:val="nil"/>
              <w:bottom w:val="single" w:sz="4" w:space="0" w:color="auto"/>
              <w:right w:val="single" w:sz="4" w:space="0" w:color="auto"/>
            </w:tcBorders>
            <w:shd w:val="clear" w:color="000000" w:fill="B3B3B3"/>
            <w:vAlign w:val="center"/>
            <w:hideMark/>
          </w:tcPr>
          <w:p w14:paraId="381F4167"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Actual</w:t>
            </w:r>
          </w:p>
        </w:tc>
        <w:tc>
          <w:tcPr>
            <w:tcW w:w="1300" w:type="dxa"/>
            <w:tcBorders>
              <w:top w:val="nil"/>
              <w:left w:val="nil"/>
              <w:bottom w:val="single" w:sz="4" w:space="0" w:color="auto"/>
              <w:right w:val="single" w:sz="4" w:space="0" w:color="auto"/>
            </w:tcBorders>
            <w:shd w:val="clear" w:color="000000" w:fill="B3B3B3"/>
            <w:vAlign w:val="center"/>
            <w:hideMark/>
          </w:tcPr>
          <w:p w14:paraId="221CD8D9"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Estimate</w:t>
            </w:r>
          </w:p>
        </w:tc>
        <w:tc>
          <w:tcPr>
            <w:tcW w:w="1300" w:type="dxa"/>
            <w:tcBorders>
              <w:top w:val="nil"/>
              <w:left w:val="nil"/>
              <w:bottom w:val="single" w:sz="4" w:space="0" w:color="auto"/>
              <w:right w:val="single" w:sz="4" w:space="0" w:color="auto"/>
            </w:tcBorders>
            <w:shd w:val="clear" w:color="000000" w:fill="B3B3B3"/>
            <w:vAlign w:val="center"/>
            <w:hideMark/>
          </w:tcPr>
          <w:p w14:paraId="47B7BACC"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Estimate</w:t>
            </w:r>
          </w:p>
        </w:tc>
        <w:tc>
          <w:tcPr>
            <w:tcW w:w="1300" w:type="dxa"/>
            <w:tcBorders>
              <w:top w:val="nil"/>
              <w:left w:val="nil"/>
              <w:bottom w:val="single" w:sz="4" w:space="0" w:color="auto"/>
              <w:right w:val="single" w:sz="4" w:space="0" w:color="auto"/>
            </w:tcBorders>
            <w:shd w:val="clear" w:color="000000" w:fill="B3B3B3"/>
            <w:vAlign w:val="center"/>
            <w:hideMark/>
          </w:tcPr>
          <w:p w14:paraId="6E860643"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Estimate</w:t>
            </w:r>
          </w:p>
        </w:tc>
        <w:tc>
          <w:tcPr>
            <w:tcW w:w="1360" w:type="dxa"/>
            <w:tcBorders>
              <w:top w:val="nil"/>
              <w:left w:val="nil"/>
              <w:bottom w:val="single" w:sz="4" w:space="0" w:color="auto"/>
              <w:right w:val="single" w:sz="4" w:space="0" w:color="auto"/>
            </w:tcBorders>
            <w:shd w:val="clear" w:color="000000" w:fill="B3B3B3"/>
            <w:vAlign w:val="center"/>
            <w:hideMark/>
          </w:tcPr>
          <w:p w14:paraId="26AB3699"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Estimate</w:t>
            </w:r>
          </w:p>
        </w:tc>
      </w:tr>
      <w:tr w:rsidR="002252C6" w14:paraId="12C932F0" w14:textId="77777777" w:rsidTr="00380DE4">
        <w:trPr>
          <w:trHeight w:val="315"/>
        </w:trPr>
        <w:tc>
          <w:tcPr>
            <w:tcW w:w="920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E93AFB9" w14:textId="77777777" w:rsidR="00380DE4" w:rsidRPr="00380DE4" w:rsidRDefault="00A724BF" w:rsidP="00380DE4">
            <w:pPr>
              <w:rPr>
                <w:rFonts w:cs="Arial"/>
                <w:b/>
                <w:bCs/>
                <w:spacing w:val="0"/>
                <w:sz w:val="22"/>
                <w:szCs w:val="22"/>
                <w:lang w:eastAsia="en-GB"/>
              </w:rPr>
            </w:pPr>
            <w:r w:rsidRPr="00380DE4">
              <w:rPr>
                <w:rFonts w:cs="Arial"/>
                <w:b/>
                <w:bCs/>
                <w:spacing w:val="0"/>
                <w:sz w:val="22"/>
                <w:szCs w:val="22"/>
                <w:lang w:eastAsia="en-GB"/>
              </w:rPr>
              <w:t>External Debt for commercial property fund (</w:t>
            </w:r>
            <w:proofErr w:type="gramStart"/>
            <w:r w:rsidRPr="00380DE4">
              <w:rPr>
                <w:rFonts w:cs="Arial"/>
                <w:b/>
                <w:bCs/>
                <w:spacing w:val="0"/>
                <w:sz w:val="22"/>
                <w:szCs w:val="22"/>
                <w:lang w:eastAsia="en-GB"/>
              </w:rPr>
              <w:t>I.e.</w:t>
            </w:r>
            <w:proofErr w:type="gramEnd"/>
            <w:r w:rsidRPr="00380DE4">
              <w:rPr>
                <w:rFonts w:cs="Arial"/>
                <w:b/>
                <w:bCs/>
                <w:spacing w:val="0"/>
                <w:sz w:val="22"/>
                <w:szCs w:val="22"/>
                <w:lang w:eastAsia="en-GB"/>
              </w:rPr>
              <w:t xml:space="preserve"> excluding finance lease debt)</w:t>
            </w:r>
          </w:p>
        </w:tc>
      </w:tr>
      <w:tr w:rsidR="002252C6" w14:paraId="45FC990E" w14:textId="77777777" w:rsidTr="00380DE4">
        <w:trPr>
          <w:trHeight w:val="570"/>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4BB3D5C9" w14:textId="77777777" w:rsidR="00380DE4" w:rsidRPr="00380DE4" w:rsidRDefault="00A724BF" w:rsidP="00380DE4">
            <w:pPr>
              <w:rPr>
                <w:rFonts w:cs="Arial"/>
                <w:spacing w:val="0"/>
                <w:sz w:val="22"/>
                <w:szCs w:val="22"/>
                <w:lang w:eastAsia="en-GB"/>
              </w:rPr>
            </w:pPr>
            <w:r w:rsidRPr="00380DE4">
              <w:rPr>
                <w:rFonts w:cs="Arial"/>
                <w:spacing w:val="0"/>
                <w:sz w:val="22"/>
                <w:szCs w:val="22"/>
                <w:lang w:eastAsia="en-GB"/>
              </w:rPr>
              <w:t xml:space="preserve">Actual debt </w:t>
            </w:r>
            <w:proofErr w:type="gramStart"/>
            <w:r w:rsidRPr="00380DE4">
              <w:rPr>
                <w:rFonts w:cs="Arial"/>
                <w:spacing w:val="0"/>
                <w:sz w:val="22"/>
                <w:szCs w:val="22"/>
                <w:lang w:eastAsia="en-GB"/>
              </w:rPr>
              <w:t>at</w:t>
            </w:r>
            <w:proofErr w:type="gramEnd"/>
            <w:r w:rsidRPr="00380DE4">
              <w:rPr>
                <w:rFonts w:cs="Arial"/>
                <w:spacing w:val="0"/>
                <w:sz w:val="22"/>
                <w:szCs w:val="22"/>
                <w:lang w:eastAsia="en-GB"/>
              </w:rPr>
              <w:t xml:space="preserve"> 31 March £m </w:t>
            </w:r>
          </w:p>
        </w:tc>
        <w:tc>
          <w:tcPr>
            <w:tcW w:w="1200" w:type="dxa"/>
            <w:tcBorders>
              <w:top w:val="nil"/>
              <w:left w:val="nil"/>
              <w:bottom w:val="single" w:sz="4" w:space="0" w:color="auto"/>
              <w:right w:val="single" w:sz="4" w:space="0" w:color="auto"/>
            </w:tcBorders>
            <w:shd w:val="clear" w:color="auto" w:fill="auto"/>
            <w:vAlign w:val="center"/>
            <w:hideMark/>
          </w:tcPr>
          <w:p w14:paraId="4D1D6D7D"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 xml:space="preserve">64,427 </w:t>
            </w:r>
          </w:p>
        </w:tc>
        <w:tc>
          <w:tcPr>
            <w:tcW w:w="1300" w:type="dxa"/>
            <w:tcBorders>
              <w:top w:val="nil"/>
              <w:left w:val="nil"/>
              <w:bottom w:val="single" w:sz="4" w:space="0" w:color="auto"/>
              <w:right w:val="single" w:sz="4" w:space="0" w:color="auto"/>
            </w:tcBorders>
            <w:shd w:val="clear" w:color="auto" w:fill="auto"/>
            <w:vAlign w:val="center"/>
            <w:hideMark/>
          </w:tcPr>
          <w:p w14:paraId="7CFE3CB5"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 xml:space="preserve">64,427 </w:t>
            </w:r>
          </w:p>
        </w:tc>
        <w:tc>
          <w:tcPr>
            <w:tcW w:w="1300" w:type="dxa"/>
            <w:tcBorders>
              <w:top w:val="nil"/>
              <w:left w:val="nil"/>
              <w:bottom w:val="single" w:sz="4" w:space="0" w:color="auto"/>
              <w:right w:val="single" w:sz="4" w:space="0" w:color="auto"/>
            </w:tcBorders>
            <w:shd w:val="clear" w:color="auto" w:fill="auto"/>
            <w:vAlign w:val="center"/>
            <w:hideMark/>
          </w:tcPr>
          <w:p w14:paraId="406BE5F6"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 xml:space="preserve">112,532 </w:t>
            </w:r>
          </w:p>
        </w:tc>
        <w:tc>
          <w:tcPr>
            <w:tcW w:w="1300" w:type="dxa"/>
            <w:tcBorders>
              <w:top w:val="nil"/>
              <w:left w:val="nil"/>
              <w:bottom w:val="single" w:sz="4" w:space="0" w:color="auto"/>
              <w:right w:val="single" w:sz="4" w:space="0" w:color="auto"/>
            </w:tcBorders>
            <w:shd w:val="clear" w:color="auto" w:fill="auto"/>
            <w:vAlign w:val="center"/>
            <w:hideMark/>
          </w:tcPr>
          <w:p w14:paraId="0661F21A"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 xml:space="preserve">110,504 </w:t>
            </w:r>
          </w:p>
        </w:tc>
        <w:tc>
          <w:tcPr>
            <w:tcW w:w="1360" w:type="dxa"/>
            <w:tcBorders>
              <w:top w:val="nil"/>
              <w:left w:val="nil"/>
              <w:bottom w:val="single" w:sz="4" w:space="0" w:color="auto"/>
              <w:right w:val="single" w:sz="4" w:space="0" w:color="auto"/>
            </w:tcBorders>
            <w:shd w:val="clear" w:color="auto" w:fill="auto"/>
            <w:vAlign w:val="center"/>
            <w:hideMark/>
          </w:tcPr>
          <w:p w14:paraId="769179DA"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 xml:space="preserve">108,403 </w:t>
            </w:r>
          </w:p>
        </w:tc>
      </w:tr>
      <w:tr w:rsidR="002252C6" w14:paraId="553D5D76" w14:textId="77777777" w:rsidTr="00380DE4">
        <w:trPr>
          <w:trHeight w:val="570"/>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0688877B" w14:textId="77777777" w:rsidR="00380DE4" w:rsidRPr="00380DE4" w:rsidRDefault="00A724BF" w:rsidP="00380DE4">
            <w:pPr>
              <w:rPr>
                <w:rFonts w:cs="Arial"/>
                <w:spacing w:val="0"/>
                <w:sz w:val="22"/>
                <w:szCs w:val="22"/>
                <w:lang w:eastAsia="en-GB"/>
              </w:rPr>
            </w:pPr>
            <w:r w:rsidRPr="00380DE4">
              <w:rPr>
                <w:rFonts w:cs="Arial"/>
                <w:spacing w:val="0"/>
                <w:sz w:val="22"/>
                <w:szCs w:val="22"/>
                <w:lang w:eastAsia="en-GB"/>
              </w:rPr>
              <w:t>Percentage of total external debt %</w:t>
            </w:r>
          </w:p>
        </w:tc>
        <w:tc>
          <w:tcPr>
            <w:tcW w:w="1200" w:type="dxa"/>
            <w:tcBorders>
              <w:top w:val="nil"/>
              <w:left w:val="nil"/>
              <w:bottom w:val="single" w:sz="4" w:space="0" w:color="auto"/>
              <w:right w:val="single" w:sz="4" w:space="0" w:color="auto"/>
            </w:tcBorders>
            <w:shd w:val="clear" w:color="auto" w:fill="auto"/>
            <w:vAlign w:val="center"/>
            <w:hideMark/>
          </w:tcPr>
          <w:p w14:paraId="3EC2218C"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 xml:space="preserve">97 </w:t>
            </w:r>
          </w:p>
        </w:tc>
        <w:tc>
          <w:tcPr>
            <w:tcW w:w="1300" w:type="dxa"/>
            <w:tcBorders>
              <w:top w:val="nil"/>
              <w:left w:val="nil"/>
              <w:bottom w:val="single" w:sz="4" w:space="0" w:color="auto"/>
              <w:right w:val="single" w:sz="4" w:space="0" w:color="auto"/>
            </w:tcBorders>
            <w:shd w:val="clear" w:color="auto" w:fill="auto"/>
            <w:vAlign w:val="center"/>
            <w:hideMark/>
          </w:tcPr>
          <w:p w14:paraId="388DC39D"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 xml:space="preserve">99 </w:t>
            </w:r>
          </w:p>
        </w:tc>
        <w:tc>
          <w:tcPr>
            <w:tcW w:w="1300" w:type="dxa"/>
            <w:tcBorders>
              <w:top w:val="nil"/>
              <w:left w:val="nil"/>
              <w:bottom w:val="single" w:sz="4" w:space="0" w:color="auto"/>
              <w:right w:val="single" w:sz="4" w:space="0" w:color="auto"/>
            </w:tcBorders>
            <w:shd w:val="clear" w:color="auto" w:fill="auto"/>
            <w:vAlign w:val="center"/>
            <w:hideMark/>
          </w:tcPr>
          <w:p w14:paraId="31962A03"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 xml:space="preserve">99 </w:t>
            </w:r>
          </w:p>
        </w:tc>
        <w:tc>
          <w:tcPr>
            <w:tcW w:w="1300" w:type="dxa"/>
            <w:tcBorders>
              <w:top w:val="nil"/>
              <w:left w:val="nil"/>
              <w:bottom w:val="single" w:sz="4" w:space="0" w:color="auto"/>
              <w:right w:val="single" w:sz="4" w:space="0" w:color="auto"/>
            </w:tcBorders>
            <w:shd w:val="clear" w:color="auto" w:fill="auto"/>
            <w:vAlign w:val="center"/>
            <w:hideMark/>
          </w:tcPr>
          <w:p w14:paraId="68D695F8"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 xml:space="preserve">99 </w:t>
            </w:r>
          </w:p>
        </w:tc>
        <w:tc>
          <w:tcPr>
            <w:tcW w:w="1360" w:type="dxa"/>
            <w:tcBorders>
              <w:top w:val="nil"/>
              <w:left w:val="nil"/>
              <w:bottom w:val="single" w:sz="4" w:space="0" w:color="auto"/>
              <w:right w:val="single" w:sz="4" w:space="0" w:color="auto"/>
            </w:tcBorders>
            <w:shd w:val="clear" w:color="auto" w:fill="auto"/>
            <w:vAlign w:val="center"/>
            <w:hideMark/>
          </w:tcPr>
          <w:p w14:paraId="0B4445FB"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 xml:space="preserve">99 </w:t>
            </w:r>
          </w:p>
        </w:tc>
      </w:tr>
    </w:tbl>
    <w:p w14:paraId="2E37694F" w14:textId="77777777" w:rsidR="00017CC8" w:rsidRPr="00B66EDA" w:rsidRDefault="00017CC8" w:rsidP="00421A63">
      <w:pPr>
        <w:pStyle w:val="BodyText"/>
        <w:spacing w:after="120"/>
        <w:jc w:val="both"/>
        <w:rPr>
          <w:rFonts w:ascii="Arial" w:hAnsi="Arial" w:cs="Arial"/>
          <w:sz w:val="20"/>
          <w:szCs w:val="20"/>
          <w:lang w:val="en-GB"/>
        </w:rPr>
      </w:pPr>
    </w:p>
    <w:p w14:paraId="1ECFD5B1" w14:textId="77777777" w:rsidR="00EB796A" w:rsidRPr="00B66EDA" w:rsidRDefault="00A724BF" w:rsidP="00421A63">
      <w:pPr>
        <w:pStyle w:val="BodyText"/>
        <w:spacing w:after="120"/>
        <w:jc w:val="both"/>
        <w:rPr>
          <w:rFonts w:ascii="Arial" w:hAnsi="Arial" w:cs="Arial"/>
          <w:sz w:val="20"/>
          <w:szCs w:val="20"/>
          <w:lang w:val="en-GB"/>
        </w:rPr>
      </w:pPr>
      <w:r w:rsidRPr="00B66EDA">
        <w:rPr>
          <w:rFonts w:ascii="Arial" w:hAnsi="Arial" w:cs="Arial"/>
          <w:sz w:val="20"/>
          <w:szCs w:val="20"/>
          <w:lang w:val="en-GB"/>
        </w:rPr>
        <w:t xml:space="preserve">Within the range of prudential indicators there are </w:t>
      </w:r>
      <w:proofErr w:type="gramStart"/>
      <w:r w:rsidRPr="00B66EDA">
        <w:rPr>
          <w:rFonts w:ascii="Arial" w:hAnsi="Arial" w:cs="Arial"/>
          <w:sz w:val="20"/>
          <w:szCs w:val="20"/>
          <w:lang w:val="en-GB"/>
        </w:rPr>
        <w:t>a number of</w:t>
      </w:r>
      <w:proofErr w:type="gramEnd"/>
      <w:r w:rsidRPr="00B66EDA">
        <w:rPr>
          <w:rFonts w:ascii="Arial" w:hAnsi="Arial" w:cs="Arial"/>
          <w:sz w:val="20"/>
          <w:szCs w:val="20"/>
          <w:lang w:val="en-GB"/>
        </w:rPr>
        <w:t xml:space="preserve"> key indicators to ensure that the Council operates its activities within well-defined limits.  One of these is that</w:t>
      </w:r>
      <w:r w:rsidRPr="00B66EDA">
        <w:rPr>
          <w:rFonts w:ascii="Arial" w:hAnsi="Arial" w:cs="Arial"/>
          <w:bCs/>
          <w:spacing w:val="-5"/>
          <w:sz w:val="20"/>
          <w:szCs w:val="20"/>
          <w:lang w:val="en-GB"/>
        </w:rPr>
        <w:t xml:space="preserve"> the Council needs to ensure that its gross debt does not, except in the short term, exceed the total of the CFR in the preceding year plus the estimates of any additional CFR for 202</w:t>
      </w:r>
      <w:r w:rsidR="00FB2DAC">
        <w:rPr>
          <w:rFonts w:ascii="Arial" w:hAnsi="Arial" w:cs="Arial"/>
          <w:bCs/>
          <w:spacing w:val="-5"/>
          <w:sz w:val="20"/>
          <w:szCs w:val="20"/>
          <w:lang w:val="en-GB"/>
        </w:rPr>
        <w:t>2</w:t>
      </w:r>
      <w:r w:rsidRPr="00B66EDA">
        <w:rPr>
          <w:rFonts w:ascii="Arial" w:hAnsi="Arial" w:cs="Arial"/>
          <w:bCs/>
          <w:spacing w:val="-5"/>
          <w:sz w:val="20"/>
          <w:szCs w:val="20"/>
          <w:lang w:val="en-GB"/>
        </w:rPr>
        <w:t>/2</w:t>
      </w:r>
      <w:r w:rsidR="00FB2DAC">
        <w:rPr>
          <w:rFonts w:ascii="Arial" w:hAnsi="Arial" w:cs="Arial"/>
          <w:bCs/>
          <w:spacing w:val="-5"/>
          <w:sz w:val="20"/>
          <w:szCs w:val="20"/>
          <w:lang w:val="en-GB"/>
        </w:rPr>
        <w:t>3</w:t>
      </w:r>
      <w:r w:rsidRPr="00B66EDA">
        <w:rPr>
          <w:rFonts w:ascii="Arial" w:hAnsi="Arial" w:cs="Arial"/>
          <w:bCs/>
          <w:spacing w:val="-5"/>
          <w:sz w:val="20"/>
          <w:szCs w:val="20"/>
          <w:lang w:val="en-GB"/>
        </w:rPr>
        <w:t xml:space="preserve"> and the following two financial years.  This allows some flexibility for limited early borrowing for future years</w:t>
      </w:r>
      <w:r w:rsidRPr="00B66EDA">
        <w:rPr>
          <w:rFonts w:ascii="Arial" w:hAnsi="Arial" w:cs="Arial"/>
          <w:sz w:val="20"/>
          <w:szCs w:val="20"/>
          <w:lang w:val="en-GB"/>
        </w:rPr>
        <w:t xml:space="preserve"> but ensures that borrowing is not undertaken for revenue or speculative purposes.    </w:t>
      </w:r>
      <w:r w:rsidRPr="00B66EDA">
        <w:rPr>
          <w:rFonts w:ascii="Arial" w:hAnsi="Arial" w:cs="Arial"/>
          <w:color w:val="3366FF"/>
          <w:sz w:val="20"/>
          <w:szCs w:val="20"/>
          <w:lang w:val="en-GB"/>
        </w:rPr>
        <w:t xml:space="preserve">  </w:t>
      </w:r>
    </w:p>
    <w:p w14:paraId="2645A08C" w14:textId="77777777" w:rsidR="00EB796A" w:rsidRPr="00B66EDA" w:rsidRDefault="00A724BF" w:rsidP="005E4307">
      <w:pPr>
        <w:pStyle w:val="BodyText"/>
        <w:spacing w:before="120" w:after="120"/>
        <w:jc w:val="both"/>
        <w:rPr>
          <w:rFonts w:ascii="Arial" w:hAnsi="Arial" w:cs="Arial"/>
          <w:sz w:val="20"/>
          <w:szCs w:val="20"/>
          <w:lang w:val="en-GB"/>
        </w:rPr>
      </w:pPr>
      <w:r w:rsidRPr="00B66EDA">
        <w:rPr>
          <w:rFonts w:ascii="Arial" w:hAnsi="Arial" w:cs="Arial"/>
          <w:sz w:val="20"/>
          <w:szCs w:val="20"/>
          <w:lang w:val="en-GB"/>
        </w:rPr>
        <w:t xml:space="preserve">The Chief Finance Officer reports that the Council complied with this prudential indicator in the current year and does not envisage difficulties for the future.  This view </w:t>
      </w:r>
      <w:proofErr w:type="gramStart"/>
      <w:r w:rsidRPr="00B66EDA">
        <w:rPr>
          <w:rFonts w:ascii="Arial" w:hAnsi="Arial" w:cs="Arial"/>
          <w:sz w:val="20"/>
          <w:szCs w:val="20"/>
          <w:lang w:val="en-GB"/>
        </w:rPr>
        <w:t>takes into account</w:t>
      </w:r>
      <w:proofErr w:type="gramEnd"/>
      <w:r w:rsidRPr="00B66EDA">
        <w:rPr>
          <w:rFonts w:ascii="Arial" w:hAnsi="Arial" w:cs="Arial"/>
          <w:sz w:val="20"/>
          <w:szCs w:val="20"/>
          <w:lang w:val="en-GB"/>
        </w:rPr>
        <w:t xml:space="preserve"> current commitments, existing plans, and the proposals in this budget report.  </w:t>
      </w:r>
    </w:p>
    <w:p w14:paraId="582CEC01" w14:textId="77777777" w:rsidR="000D245F" w:rsidRPr="00B66EDA" w:rsidRDefault="000D245F" w:rsidP="005E4307">
      <w:pPr>
        <w:pStyle w:val="BodyText"/>
        <w:spacing w:before="120" w:after="120"/>
        <w:jc w:val="both"/>
        <w:rPr>
          <w:rFonts w:ascii="Arial" w:hAnsi="Arial" w:cs="Arial"/>
          <w:sz w:val="20"/>
          <w:szCs w:val="20"/>
          <w:lang w:val="en-GB"/>
        </w:rPr>
      </w:pPr>
    </w:p>
    <w:p w14:paraId="4E66D7B3" w14:textId="77777777" w:rsidR="00EB796A" w:rsidRPr="00B66EDA" w:rsidRDefault="00A724BF" w:rsidP="006043FC">
      <w:pPr>
        <w:pStyle w:val="subhead"/>
        <w:ind w:left="357" w:hanging="357"/>
        <w:rPr>
          <w:noProof w:val="0"/>
          <w:sz w:val="20"/>
          <w:szCs w:val="20"/>
        </w:rPr>
      </w:pPr>
      <w:bookmarkStart w:id="122" w:name="_Toc56008273"/>
      <w:r w:rsidRPr="00B66EDA">
        <w:rPr>
          <w:noProof w:val="0"/>
          <w:sz w:val="20"/>
          <w:szCs w:val="20"/>
        </w:rPr>
        <w:t>Treasury Indicators: limits to borrowing activity</w:t>
      </w:r>
      <w:bookmarkEnd w:id="122"/>
    </w:p>
    <w:p w14:paraId="5A6DD919" w14:textId="77777777" w:rsidR="00EB796A" w:rsidRDefault="00A724BF" w:rsidP="005E4307">
      <w:pPr>
        <w:pStyle w:val="BodyText"/>
        <w:spacing w:after="120"/>
        <w:jc w:val="both"/>
        <w:rPr>
          <w:rFonts w:ascii="Arial" w:hAnsi="Arial" w:cs="Arial"/>
          <w:sz w:val="20"/>
          <w:szCs w:val="20"/>
          <w:lang w:val="en-GB"/>
        </w:rPr>
      </w:pPr>
      <w:r w:rsidRPr="00B66EDA">
        <w:rPr>
          <w:rFonts w:ascii="Arial" w:hAnsi="Arial" w:cs="Arial"/>
          <w:b/>
          <w:sz w:val="20"/>
          <w:szCs w:val="20"/>
          <w:lang w:val="en-GB"/>
        </w:rPr>
        <w:t xml:space="preserve">The operational boundary. </w:t>
      </w:r>
      <w:r w:rsidRPr="00B66EDA">
        <w:rPr>
          <w:rFonts w:ascii="Arial" w:hAnsi="Arial" w:cs="Arial"/>
          <w:sz w:val="20"/>
          <w:szCs w:val="20"/>
          <w:lang w:val="en-GB"/>
        </w:rPr>
        <w:t>This is the limit beyond which external debt is not normally expected to exceed.  In most cases, this would be a similar figure to the CFR, but may be lower or higher depending on the levels of actual debt and the ability to fund under-borrowing by other cash resources.</w:t>
      </w:r>
    </w:p>
    <w:p w14:paraId="432E8393" w14:textId="77777777" w:rsidR="00416DEC" w:rsidRDefault="00416DEC" w:rsidP="005E4307">
      <w:pPr>
        <w:pStyle w:val="BodyText"/>
        <w:spacing w:after="120"/>
        <w:jc w:val="both"/>
        <w:rPr>
          <w:rFonts w:ascii="Arial" w:hAnsi="Arial" w:cs="Arial"/>
          <w:sz w:val="20"/>
          <w:szCs w:val="20"/>
          <w:lang w:val="en-GB"/>
        </w:rPr>
      </w:pPr>
    </w:p>
    <w:p w14:paraId="6A7A8307" w14:textId="77777777" w:rsidR="00416DEC" w:rsidRDefault="00416DEC" w:rsidP="005E4307">
      <w:pPr>
        <w:pStyle w:val="BodyText"/>
        <w:spacing w:after="120"/>
        <w:jc w:val="both"/>
        <w:rPr>
          <w:rFonts w:ascii="Arial" w:hAnsi="Arial" w:cs="Arial"/>
          <w:sz w:val="20"/>
          <w:szCs w:val="20"/>
          <w:lang w:val="en-GB"/>
        </w:rPr>
      </w:pPr>
    </w:p>
    <w:p w14:paraId="7901A192" w14:textId="77777777" w:rsidR="00416DEC" w:rsidRDefault="00416DEC" w:rsidP="005E4307">
      <w:pPr>
        <w:pStyle w:val="BodyText"/>
        <w:spacing w:after="120"/>
        <w:jc w:val="both"/>
        <w:rPr>
          <w:rFonts w:ascii="Arial" w:hAnsi="Arial" w:cs="Arial"/>
          <w:sz w:val="20"/>
          <w:szCs w:val="20"/>
          <w:lang w:val="en-GB"/>
        </w:rPr>
      </w:pPr>
    </w:p>
    <w:p w14:paraId="4EA04BCF" w14:textId="77777777" w:rsidR="00416DEC" w:rsidRPr="00B66EDA" w:rsidRDefault="00416DEC" w:rsidP="005E4307">
      <w:pPr>
        <w:pStyle w:val="BodyText"/>
        <w:spacing w:after="120"/>
        <w:jc w:val="both"/>
        <w:rPr>
          <w:rFonts w:ascii="Arial" w:hAnsi="Arial" w:cs="Arial"/>
          <w:sz w:val="20"/>
          <w:szCs w:val="20"/>
          <w:lang w:val="en-GB"/>
        </w:rPr>
      </w:pPr>
    </w:p>
    <w:tbl>
      <w:tblPr>
        <w:tblW w:w="9200" w:type="dxa"/>
        <w:tblLook w:val="04A0" w:firstRow="1" w:lastRow="0" w:firstColumn="1" w:lastColumn="0" w:noHBand="0" w:noVBand="1"/>
      </w:tblPr>
      <w:tblGrid>
        <w:gridCol w:w="2740"/>
        <w:gridCol w:w="1200"/>
        <w:gridCol w:w="1300"/>
        <w:gridCol w:w="1300"/>
        <w:gridCol w:w="1300"/>
        <w:gridCol w:w="1360"/>
      </w:tblGrid>
      <w:tr w:rsidR="002252C6" w14:paraId="32EADBB6" w14:textId="77777777" w:rsidTr="00380DE4">
        <w:trPr>
          <w:trHeight w:val="315"/>
        </w:trPr>
        <w:tc>
          <w:tcPr>
            <w:tcW w:w="2740" w:type="dxa"/>
            <w:vMerge w:val="restart"/>
            <w:tcBorders>
              <w:top w:val="single" w:sz="4" w:space="0" w:color="auto"/>
              <w:left w:val="single" w:sz="4" w:space="0" w:color="auto"/>
              <w:bottom w:val="single" w:sz="4" w:space="0" w:color="auto"/>
              <w:right w:val="single" w:sz="4" w:space="0" w:color="auto"/>
            </w:tcBorders>
            <w:shd w:val="clear" w:color="000000" w:fill="B3B3B3"/>
            <w:vAlign w:val="center"/>
            <w:hideMark/>
          </w:tcPr>
          <w:p w14:paraId="76892215" w14:textId="77777777" w:rsidR="00380DE4" w:rsidRPr="00380DE4" w:rsidRDefault="00A724BF" w:rsidP="00380DE4">
            <w:pPr>
              <w:jc w:val="both"/>
              <w:rPr>
                <w:rFonts w:cs="Arial"/>
                <w:b/>
                <w:bCs/>
                <w:spacing w:val="0"/>
                <w:sz w:val="22"/>
                <w:szCs w:val="22"/>
                <w:lang w:eastAsia="en-GB"/>
              </w:rPr>
            </w:pPr>
            <w:r w:rsidRPr="00380DE4">
              <w:rPr>
                <w:rFonts w:cs="Arial"/>
                <w:b/>
                <w:bCs/>
                <w:spacing w:val="0"/>
                <w:sz w:val="22"/>
                <w:szCs w:val="22"/>
                <w:lang w:eastAsia="en-GB"/>
              </w:rPr>
              <w:lastRenderedPageBreak/>
              <w:t>Operational boundary £'000</w:t>
            </w:r>
          </w:p>
        </w:tc>
        <w:tc>
          <w:tcPr>
            <w:tcW w:w="1200" w:type="dxa"/>
            <w:tcBorders>
              <w:top w:val="single" w:sz="4" w:space="0" w:color="auto"/>
              <w:left w:val="nil"/>
              <w:bottom w:val="single" w:sz="4" w:space="0" w:color="auto"/>
              <w:right w:val="single" w:sz="4" w:space="0" w:color="auto"/>
            </w:tcBorders>
            <w:shd w:val="clear" w:color="000000" w:fill="B3B3B3"/>
            <w:vAlign w:val="center"/>
            <w:hideMark/>
          </w:tcPr>
          <w:p w14:paraId="05ED7053"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2021/22</w:t>
            </w:r>
          </w:p>
        </w:tc>
        <w:tc>
          <w:tcPr>
            <w:tcW w:w="1300" w:type="dxa"/>
            <w:tcBorders>
              <w:top w:val="single" w:sz="4" w:space="0" w:color="auto"/>
              <w:left w:val="nil"/>
              <w:bottom w:val="single" w:sz="4" w:space="0" w:color="auto"/>
              <w:right w:val="single" w:sz="4" w:space="0" w:color="auto"/>
            </w:tcBorders>
            <w:shd w:val="clear" w:color="000000" w:fill="B3B3B3"/>
            <w:vAlign w:val="center"/>
            <w:hideMark/>
          </w:tcPr>
          <w:p w14:paraId="00FADAD3"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2022/23</w:t>
            </w:r>
          </w:p>
        </w:tc>
        <w:tc>
          <w:tcPr>
            <w:tcW w:w="1300" w:type="dxa"/>
            <w:tcBorders>
              <w:top w:val="single" w:sz="4" w:space="0" w:color="auto"/>
              <w:left w:val="nil"/>
              <w:bottom w:val="single" w:sz="4" w:space="0" w:color="auto"/>
              <w:right w:val="single" w:sz="4" w:space="0" w:color="auto"/>
            </w:tcBorders>
            <w:shd w:val="clear" w:color="000000" w:fill="B3B3B3"/>
            <w:vAlign w:val="center"/>
            <w:hideMark/>
          </w:tcPr>
          <w:p w14:paraId="32A98CBF"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2023/24</w:t>
            </w:r>
          </w:p>
        </w:tc>
        <w:tc>
          <w:tcPr>
            <w:tcW w:w="1300" w:type="dxa"/>
            <w:tcBorders>
              <w:top w:val="single" w:sz="4" w:space="0" w:color="auto"/>
              <w:left w:val="nil"/>
              <w:bottom w:val="single" w:sz="4" w:space="0" w:color="auto"/>
              <w:right w:val="single" w:sz="4" w:space="0" w:color="auto"/>
            </w:tcBorders>
            <w:shd w:val="clear" w:color="000000" w:fill="B3B3B3"/>
            <w:vAlign w:val="center"/>
            <w:hideMark/>
          </w:tcPr>
          <w:p w14:paraId="2D8948CA"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2024/25</w:t>
            </w:r>
          </w:p>
        </w:tc>
        <w:tc>
          <w:tcPr>
            <w:tcW w:w="1360" w:type="dxa"/>
            <w:tcBorders>
              <w:top w:val="single" w:sz="4" w:space="0" w:color="auto"/>
              <w:left w:val="nil"/>
              <w:bottom w:val="single" w:sz="4" w:space="0" w:color="auto"/>
              <w:right w:val="single" w:sz="4" w:space="0" w:color="auto"/>
            </w:tcBorders>
            <w:shd w:val="clear" w:color="000000" w:fill="B3B3B3"/>
            <w:vAlign w:val="center"/>
            <w:hideMark/>
          </w:tcPr>
          <w:p w14:paraId="06BA44B7"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2025/26</w:t>
            </w:r>
          </w:p>
        </w:tc>
      </w:tr>
      <w:tr w:rsidR="002252C6" w14:paraId="58E3D819" w14:textId="77777777" w:rsidTr="00380DE4">
        <w:trPr>
          <w:trHeight w:val="315"/>
        </w:trPr>
        <w:tc>
          <w:tcPr>
            <w:tcW w:w="2740" w:type="dxa"/>
            <w:vMerge/>
            <w:tcBorders>
              <w:top w:val="single" w:sz="4" w:space="0" w:color="auto"/>
              <w:left w:val="single" w:sz="4" w:space="0" w:color="auto"/>
              <w:bottom w:val="single" w:sz="4" w:space="0" w:color="auto"/>
              <w:right w:val="single" w:sz="4" w:space="0" w:color="auto"/>
            </w:tcBorders>
            <w:vAlign w:val="center"/>
            <w:hideMark/>
          </w:tcPr>
          <w:p w14:paraId="76FBB24A" w14:textId="77777777" w:rsidR="00380DE4" w:rsidRPr="00380DE4" w:rsidRDefault="00380DE4" w:rsidP="00380DE4">
            <w:pPr>
              <w:rPr>
                <w:rFonts w:cs="Arial"/>
                <w:b/>
                <w:bCs/>
                <w:spacing w:val="0"/>
                <w:sz w:val="22"/>
                <w:szCs w:val="22"/>
                <w:lang w:eastAsia="en-GB"/>
              </w:rPr>
            </w:pPr>
          </w:p>
        </w:tc>
        <w:tc>
          <w:tcPr>
            <w:tcW w:w="1200" w:type="dxa"/>
            <w:tcBorders>
              <w:top w:val="nil"/>
              <w:left w:val="nil"/>
              <w:bottom w:val="single" w:sz="4" w:space="0" w:color="auto"/>
              <w:right w:val="single" w:sz="4" w:space="0" w:color="auto"/>
            </w:tcBorders>
            <w:shd w:val="clear" w:color="000000" w:fill="B3B3B3"/>
            <w:vAlign w:val="center"/>
            <w:hideMark/>
          </w:tcPr>
          <w:p w14:paraId="30F3A8EC"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Actual</w:t>
            </w:r>
          </w:p>
        </w:tc>
        <w:tc>
          <w:tcPr>
            <w:tcW w:w="1300" w:type="dxa"/>
            <w:tcBorders>
              <w:top w:val="nil"/>
              <w:left w:val="nil"/>
              <w:bottom w:val="single" w:sz="4" w:space="0" w:color="auto"/>
              <w:right w:val="single" w:sz="4" w:space="0" w:color="auto"/>
            </w:tcBorders>
            <w:shd w:val="clear" w:color="000000" w:fill="B3B3B3"/>
            <w:vAlign w:val="center"/>
            <w:hideMark/>
          </w:tcPr>
          <w:p w14:paraId="0EA4347D"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Estimate</w:t>
            </w:r>
          </w:p>
        </w:tc>
        <w:tc>
          <w:tcPr>
            <w:tcW w:w="1300" w:type="dxa"/>
            <w:tcBorders>
              <w:top w:val="nil"/>
              <w:left w:val="nil"/>
              <w:bottom w:val="single" w:sz="4" w:space="0" w:color="auto"/>
              <w:right w:val="single" w:sz="4" w:space="0" w:color="auto"/>
            </w:tcBorders>
            <w:shd w:val="clear" w:color="000000" w:fill="B3B3B3"/>
            <w:vAlign w:val="center"/>
            <w:hideMark/>
          </w:tcPr>
          <w:p w14:paraId="4C7E4F37"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Estimate</w:t>
            </w:r>
          </w:p>
        </w:tc>
        <w:tc>
          <w:tcPr>
            <w:tcW w:w="1300" w:type="dxa"/>
            <w:tcBorders>
              <w:top w:val="nil"/>
              <w:left w:val="nil"/>
              <w:bottom w:val="single" w:sz="4" w:space="0" w:color="auto"/>
              <w:right w:val="single" w:sz="4" w:space="0" w:color="auto"/>
            </w:tcBorders>
            <w:shd w:val="clear" w:color="000000" w:fill="B3B3B3"/>
            <w:vAlign w:val="center"/>
            <w:hideMark/>
          </w:tcPr>
          <w:p w14:paraId="24B1C67A"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Estimate</w:t>
            </w:r>
          </w:p>
        </w:tc>
        <w:tc>
          <w:tcPr>
            <w:tcW w:w="1360" w:type="dxa"/>
            <w:tcBorders>
              <w:top w:val="nil"/>
              <w:left w:val="nil"/>
              <w:bottom w:val="single" w:sz="4" w:space="0" w:color="auto"/>
              <w:right w:val="single" w:sz="4" w:space="0" w:color="auto"/>
            </w:tcBorders>
            <w:shd w:val="clear" w:color="000000" w:fill="B3B3B3"/>
            <w:vAlign w:val="center"/>
            <w:hideMark/>
          </w:tcPr>
          <w:p w14:paraId="5317F376"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Estimate</w:t>
            </w:r>
          </w:p>
        </w:tc>
      </w:tr>
      <w:tr w:rsidR="002252C6" w14:paraId="2014B9A5" w14:textId="77777777" w:rsidTr="00380DE4">
        <w:trPr>
          <w:trHeight w:val="570"/>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37E615F1" w14:textId="77777777" w:rsidR="00380DE4" w:rsidRPr="00380DE4" w:rsidRDefault="00A724BF" w:rsidP="00380DE4">
            <w:pPr>
              <w:jc w:val="both"/>
              <w:rPr>
                <w:rFonts w:cs="Arial"/>
                <w:spacing w:val="0"/>
                <w:sz w:val="22"/>
                <w:szCs w:val="22"/>
                <w:lang w:eastAsia="en-GB"/>
              </w:rPr>
            </w:pPr>
            <w:r w:rsidRPr="00380DE4">
              <w:rPr>
                <w:rFonts w:cs="Arial"/>
                <w:spacing w:val="0"/>
                <w:sz w:val="22"/>
                <w:szCs w:val="22"/>
                <w:lang w:eastAsia="en-GB"/>
              </w:rPr>
              <w:t>Debt relating to commercial property fund</w:t>
            </w:r>
          </w:p>
        </w:tc>
        <w:tc>
          <w:tcPr>
            <w:tcW w:w="1200" w:type="dxa"/>
            <w:tcBorders>
              <w:top w:val="nil"/>
              <w:left w:val="nil"/>
              <w:bottom w:val="single" w:sz="4" w:space="0" w:color="auto"/>
              <w:right w:val="single" w:sz="4" w:space="0" w:color="auto"/>
            </w:tcBorders>
            <w:shd w:val="clear" w:color="auto" w:fill="auto"/>
            <w:vAlign w:val="center"/>
            <w:hideMark/>
          </w:tcPr>
          <w:p w14:paraId="10E496BF"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90,277</w:t>
            </w:r>
          </w:p>
        </w:tc>
        <w:tc>
          <w:tcPr>
            <w:tcW w:w="1300" w:type="dxa"/>
            <w:tcBorders>
              <w:top w:val="nil"/>
              <w:left w:val="nil"/>
              <w:bottom w:val="single" w:sz="4" w:space="0" w:color="auto"/>
              <w:right w:val="single" w:sz="4" w:space="0" w:color="auto"/>
            </w:tcBorders>
            <w:shd w:val="clear" w:color="auto" w:fill="auto"/>
            <w:vAlign w:val="center"/>
            <w:hideMark/>
          </w:tcPr>
          <w:p w14:paraId="2C77C8D9"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88,895</w:t>
            </w:r>
          </w:p>
        </w:tc>
        <w:tc>
          <w:tcPr>
            <w:tcW w:w="1300" w:type="dxa"/>
            <w:tcBorders>
              <w:top w:val="nil"/>
              <w:left w:val="nil"/>
              <w:bottom w:val="single" w:sz="4" w:space="0" w:color="auto"/>
              <w:right w:val="single" w:sz="4" w:space="0" w:color="auto"/>
            </w:tcBorders>
            <w:shd w:val="clear" w:color="auto" w:fill="auto"/>
            <w:vAlign w:val="center"/>
            <w:hideMark/>
          </w:tcPr>
          <w:p w14:paraId="0A60EDCC"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137,025</w:t>
            </w:r>
          </w:p>
        </w:tc>
        <w:tc>
          <w:tcPr>
            <w:tcW w:w="1300" w:type="dxa"/>
            <w:tcBorders>
              <w:top w:val="nil"/>
              <w:left w:val="nil"/>
              <w:bottom w:val="single" w:sz="4" w:space="0" w:color="auto"/>
              <w:right w:val="single" w:sz="4" w:space="0" w:color="auto"/>
            </w:tcBorders>
            <w:shd w:val="clear" w:color="auto" w:fill="auto"/>
            <w:vAlign w:val="center"/>
            <w:hideMark/>
          </w:tcPr>
          <w:p w14:paraId="438F7118"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135,561</w:t>
            </w:r>
          </w:p>
        </w:tc>
        <w:tc>
          <w:tcPr>
            <w:tcW w:w="1360" w:type="dxa"/>
            <w:tcBorders>
              <w:top w:val="nil"/>
              <w:left w:val="nil"/>
              <w:bottom w:val="single" w:sz="4" w:space="0" w:color="auto"/>
              <w:right w:val="single" w:sz="4" w:space="0" w:color="auto"/>
            </w:tcBorders>
            <w:shd w:val="clear" w:color="auto" w:fill="auto"/>
            <w:vAlign w:val="center"/>
            <w:hideMark/>
          </w:tcPr>
          <w:p w14:paraId="70F27238"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133,533</w:t>
            </w:r>
          </w:p>
        </w:tc>
      </w:tr>
      <w:tr w:rsidR="002252C6" w14:paraId="4B4CDD58" w14:textId="77777777" w:rsidTr="00380DE4">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5622A69D" w14:textId="77777777" w:rsidR="00380DE4" w:rsidRPr="00380DE4" w:rsidRDefault="00A724BF" w:rsidP="00380DE4">
            <w:pPr>
              <w:jc w:val="both"/>
              <w:rPr>
                <w:rFonts w:cs="Arial"/>
                <w:spacing w:val="0"/>
                <w:sz w:val="22"/>
                <w:szCs w:val="22"/>
                <w:lang w:eastAsia="en-GB"/>
              </w:rPr>
            </w:pPr>
            <w:r w:rsidRPr="00380DE4">
              <w:rPr>
                <w:rFonts w:cs="Arial"/>
                <w:spacing w:val="0"/>
                <w:sz w:val="22"/>
                <w:szCs w:val="22"/>
                <w:lang w:eastAsia="en-GB"/>
              </w:rPr>
              <w:t xml:space="preserve">Other </w:t>
            </w:r>
            <w:proofErr w:type="gramStart"/>
            <w:r w:rsidRPr="00380DE4">
              <w:rPr>
                <w:rFonts w:cs="Arial"/>
                <w:spacing w:val="0"/>
                <w:sz w:val="22"/>
                <w:szCs w:val="22"/>
                <w:lang w:eastAsia="en-GB"/>
              </w:rPr>
              <w:t>long term</w:t>
            </w:r>
            <w:proofErr w:type="gramEnd"/>
            <w:r w:rsidRPr="00380DE4">
              <w:rPr>
                <w:rFonts w:cs="Arial"/>
                <w:spacing w:val="0"/>
                <w:sz w:val="22"/>
                <w:szCs w:val="22"/>
                <w:lang w:eastAsia="en-GB"/>
              </w:rPr>
              <w:t xml:space="preserve"> liabilities</w:t>
            </w:r>
          </w:p>
        </w:tc>
        <w:tc>
          <w:tcPr>
            <w:tcW w:w="1200" w:type="dxa"/>
            <w:tcBorders>
              <w:top w:val="nil"/>
              <w:left w:val="nil"/>
              <w:bottom w:val="single" w:sz="4" w:space="0" w:color="auto"/>
              <w:right w:val="single" w:sz="4" w:space="0" w:color="auto"/>
            </w:tcBorders>
            <w:shd w:val="clear" w:color="auto" w:fill="auto"/>
            <w:vAlign w:val="center"/>
            <w:hideMark/>
          </w:tcPr>
          <w:p w14:paraId="0A5EAD4E"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2,287</w:t>
            </w:r>
          </w:p>
        </w:tc>
        <w:tc>
          <w:tcPr>
            <w:tcW w:w="1300" w:type="dxa"/>
            <w:tcBorders>
              <w:top w:val="nil"/>
              <w:left w:val="nil"/>
              <w:bottom w:val="single" w:sz="4" w:space="0" w:color="auto"/>
              <w:right w:val="single" w:sz="4" w:space="0" w:color="auto"/>
            </w:tcBorders>
            <w:shd w:val="clear" w:color="auto" w:fill="auto"/>
            <w:vAlign w:val="center"/>
            <w:hideMark/>
          </w:tcPr>
          <w:p w14:paraId="6D2B3BC3"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1,877</w:t>
            </w:r>
          </w:p>
        </w:tc>
        <w:tc>
          <w:tcPr>
            <w:tcW w:w="1300" w:type="dxa"/>
            <w:tcBorders>
              <w:top w:val="nil"/>
              <w:left w:val="nil"/>
              <w:bottom w:val="single" w:sz="4" w:space="0" w:color="auto"/>
              <w:right w:val="single" w:sz="4" w:space="0" w:color="auto"/>
            </w:tcBorders>
            <w:shd w:val="clear" w:color="auto" w:fill="auto"/>
            <w:vAlign w:val="center"/>
            <w:hideMark/>
          </w:tcPr>
          <w:p w14:paraId="2EA08B0C"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1,467</w:t>
            </w:r>
          </w:p>
        </w:tc>
        <w:tc>
          <w:tcPr>
            <w:tcW w:w="1300" w:type="dxa"/>
            <w:tcBorders>
              <w:top w:val="nil"/>
              <w:left w:val="nil"/>
              <w:bottom w:val="single" w:sz="4" w:space="0" w:color="auto"/>
              <w:right w:val="single" w:sz="4" w:space="0" w:color="auto"/>
            </w:tcBorders>
            <w:shd w:val="clear" w:color="auto" w:fill="auto"/>
            <w:vAlign w:val="center"/>
            <w:hideMark/>
          </w:tcPr>
          <w:p w14:paraId="600311B7"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1,028</w:t>
            </w:r>
          </w:p>
        </w:tc>
        <w:tc>
          <w:tcPr>
            <w:tcW w:w="1360" w:type="dxa"/>
            <w:tcBorders>
              <w:top w:val="nil"/>
              <w:left w:val="nil"/>
              <w:bottom w:val="single" w:sz="4" w:space="0" w:color="auto"/>
              <w:right w:val="single" w:sz="4" w:space="0" w:color="auto"/>
            </w:tcBorders>
            <w:shd w:val="clear" w:color="auto" w:fill="auto"/>
            <w:vAlign w:val="center"/>
            <w:hideMark/>
          </w:tcPr>
          <w:p w14:paraId="70CB88D2"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556</w:t>
            </w:r>
          </w:p>
        </w:tc>
      </w:tr>
      <w:tr w:rsidR="002252C6" w14:paraId="5807DB20" w14:textId="77777777" w:rsidTr="00380DE4">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5ED458F3" w14:textId="77777777" w:rsidR="00380DE4" w:rsidRPr="00380DE4" w:rsidRDefault="00A724BF" w:rsidP="00380DE4">
            <w:pPr>
              <w:jc w:val="both"/>
              <w:rPr>
                <w:rFonts w:cs="Arial"/>
                <w:b/>
                <w:bCs/>
                <w:spacing w:val="0"/>
                <w:sz w:val="22"/>
                <w:szCs w:val="22"/>
                <w:lang w:eastAsia="en-GB"/>
              </w:rPr>
            </w:pPr>
            <w:r w:rsidRPr="00380DE4">
              <w:rPr>
                <w:rFonts w:cs="Arial"/>
                <w:b/>
                <w:bCs/>
                <w:spacing w:val="0"/>
                <w:sz w:val="22"/>
                <w:szCs w:val="22"/>
                <w:lang w:eastAsia="en-GB"/>
              </w:rPr>
              <w:t>Total</w:t>
            </w:r>
          </w:p>
        </w:tc>
        <w:tc>
          <w:tcPr>
            <w:tcW w:w="1200" w:type="dxa"/>
            <w:tcBorders>
              <w:top w:val="nil"/>
              <w:left w:val="nil"/>
              <w:bottom w:val="single" w:sz="4" w:space="0" w:color="auto"/>
              <w:right w:val="single" w:sz="4" w:space="0" w:color="auto"/>
            </w:tcBorders>
            <w:shd w:val="clear" w:color="auto" w:fill="auto"/>
            <w:vAlign w:val="center"/>
            <w:hideMark/>
          </w:tcPr>
          <w:p w14:paraId="13655645" w14:textId="77777777" w:rsidR="00380DE4" w:rsidRPr="00380DE4" w:rsidRDefault="00A724BF" w:rsidP="00380DE4">
            <w:pPr>
              <w:jc w:val="right"/>
              <w:rPr>
                <w:rFonts w:cs="Arial"/>
                <w:b/>
                <w:bCs/>
                <w:spacing w:val="0"/>
                <w:sz w:val="22"/>
                <w:szCs w:val="22"/>
                <w:lang w:eastAsia="en-GB"/>
              </w:rPr>
            </w:pPr>
            <w:r w:rsidRPr="00380DE4">
              <w:rPr>
                <w:rFonts w:cs="Arial"/>
                <w:b/>
                <w:bCs/>
                <w:spacing w:val="0"/>
                <w:sz w:val="22"/>
                <w:szCs w:val="22"/>
                <w:lang w:eastAsia="en-GB"/>
              </w:rPr>
              <w:t>92,564</w:t>
            </w:r>
          </w:p>
        </w:tc>
        <w:tc>
          <w:tcPr>
            <w:tcW w:w="1300" w:type="dxa"/>
            <w:tcBorders>
              <w:top w:val="nil"/>
              <w:left w:val="nil"/>
              <w:bottom w:val="single" w:sz="4" w:space="0" w:color="auto"/>
              <w:right w:val="single" w:sz="4" w:space="0" w:color="auto"/>
            </w:tcBorders>
            <w:shd w:val="clear" w:color="auto" w:fill="auto"/>
            <w:vAlign w:val="center"/>
            <w:hideMark/>
          </w:tcPr>
          <w:p w14:paraId="31AB4F70" w14:textId="77777777" w:rsidR="00380DE4" w:rsidRPr="00380DE4" w:rsidRDefault="00A724BF" w:rsidP="00380DE4">
            <w:pPr>
              <w:jc w:val="right"/>
              <w:rPr>
                <w:rFonts w:cs="Arial"/>
                <w:b/>
                <w:bCs/>
                <w:spacing w:val="0"/>
                <w:sz w:val="22"/>
                <w:szCs w:val="22"/>
                <w:lang w:eastAsia="en-GB"/>
              </w:rPr>
            </w:pPr>
            <w:r w:rsidRPr="00380DE4">
              <w:rPr>
                <w:rFonts w:cs="Arial"/>
                <w:b/>
                <w:bCs/>
                <w:spacing w:val="0"/>
                <w:sz w:val="22"/>
                <w:szCs w:val="22"/>
                <w:lang w:eastAsia="en-GB"/>
              </w:rPr>
              <w:t>90,772</w:t>
            </w:r>
          </w:p>
        </w:tc>
        <w:tc>
          <w:tcPr>
            <w:tcW w:w="1300" w:type="dxa"/>
            <w:tcBorders>
              <w:top w:val="nil"/>
              <w:left w:val="nil"/>
              <w:bottom w:val="single" w:sz="4" w:space="0" w:color="auto"/>
              <w:right w:val="single" w:sz="4" w:space="0" w:color="auto"/>
            </w:tcBorders>
            <w:shd w:val="clear" w:color="auto" w:fill="auto"/>
            <w:vAlign w:val="center"/>
            <w:hideMark/>
          </w:tcPr>
          <w:p w14:paraId="14134246" w14:textId="77777777" w:rsidR="00380DE4" w:rsidRPr="00380DE4" w:rsidRDefault="00A724BF" w:rsidP="00380DE4">
            <w:pPr>
              <w:jc w:val="right"/>
              <w:rPr>
                <w:rFonts w:cs="Arial"/>
                <w:b/>
                <w:bCs/>
                <w:spacing w:val="0"/>
                <w:sz w:val="22"/>
                <w:szCs w:val="22"/>
                <w:lang w:eastAsia="en-GB"/>
              </w:rPr>
            </w:pPr>
            <w:r w:rsidRPr="00380DE4">
              <w:rPr>
                <w:rFonts w:cs="Arial"/>
                <w:b/>
                <w:bCs/>
                <w:spacing w:val="0"/>
                <w:sz w:val="22"/>
                <w:szCs w:val="22"/>
                <w:lang w:eastAsia="en-GB"/>
              </w:rPr>
              <w:t>138,493</w:t>
            </w:r>
          </w:p>
        </w:tc>
        <w:tc>
          <w:tcPr>
            <w:tcW w:w="1300" w:type="dxa"/>
            <w:tcBorders>
              <w:top w:val="nil"/>
              <w:left w:val="nil"/>
              <w:bottom w:val="single" w:sz="4" w:space="0" w:color="auto"/>
              <w:right w:val="single" w:sz="4" w:space="0" w:color="auto"/>
            </w:tcBorders>
            <w:shd w:val="clear" w:color="auto" w:fill="auto"/>
            <w:vAlign w:val="center"/>
            <w:hideMark/>
          </w:tcPr>
          <w:p w14:paraId="41E22EF4" w14:textId="77777777" w:rsidR="00380DE4" w:rsidRPr="00380DE4" w:rsidRDefault="00A724BF" w:rsidP="00380DE4">
            <w:pPr>
              <w:jc w:val="right"/>
              <w:rPr>
                <w:rFonts w:cs="Arial"/>
                <w:b/>
                <w:bCs/>
                <w:spacing w:val="0"/>
                <w:sz w:val="22"/>
                <w:szCs w:val="22"/>
                <w:lang w:eastAsia="en-GB"/>
              </w:rPr>
            </w:pPr>
            <w:r w:rsidRPr="00380DE4">
              <w:rPr>
                <w:rFonts w:cs="Arial"/>
                <w:b/>
                <w:bCs/>
                <w:spacing w:val="0"/>
                <w:sz w:val="22"/>
                <w:szCs w:val="22"/>
                <w:lang w:eastAsia="en-GB"/>
              </w:rPr>
              <w:t>136,589</w:t>
            </w:r>
          </w:p>
        </w:tc>
        <w:tc>
          <w:tcPr>
            <w:tcW w:w="1360" w:type="dxa"/>
            <w:tcBorders>
              <w:top w:val="nil"/>
              <w:left w:val="nil"/>
              <w:bottom w:val="single" w:sz="4" w:space="0" w:color="auto"/>
              <w:right w:val="single" w:sz="4" w:space="0" w:color="auto"/>
            </w:tcBorders>
            <w:shd w:val="clear" w:color="auto" w:fill="auto"/>
            <w:vAlign w:val="center"/>
            <w:hideMark/>
          </w:tcPr>
          <w:p w14:paraId="1D3010F9" w14:textId="77777777" w:rsidR="00380DE4" w:rsidRPr="00380DE4" w:rsidRDefault="00A724BF" w:rsidP="00380DE4">
            <w:pPr>
              <w:jc w:val="right"/>
              <w:rPr>
                <w:rFonts w:cs="Arial"/>
                <w:b/>
                <w:bCs/>
                <w:spacing w:val="0"/>
                <w:sz w:val="22"/>
                <w:szCs w:val="22"/>
                <w:lang w:eastAsia="en-GB"/>
              </w:rPr>
            </w:pPr>
            <w:r w:rsidRPr="00380DE4">
              <w:rPr>
                <w:rFonts w:cs="Arial"/>
                <w:b/>
                <w:bCs/>
                <w:spacing w:val="0"/>
                <w:sz w:val="22"/>
                <w:szCs w:val="22"/>
                <w:lang w:eastAsia="en-GB"/>
              </w:rPr>
              <w:t>134,089</w:t>
            </w:r>
          </w:p>
        </w:tc>
      </w:tr>
    </w:tbl>
    <w:p w14:paraId="406E3D15" w14:textId="77777777" w:rsidR="00EB796A" w:rsidRPr="00B66EDA" w:rsidRDefault="00EB796A" w:rsidP="005E4307">
      <w:pPr>
        <w:pStyle w:val="BodyText"/>
        <w:spacing w:after="120"/>
        <w:jc w:val="both"/>
        <w:rPr>
          <w:rFonts w:ascii="Arial" w:hAnsi="Arial" w:cs="Arial"/>
          <w:sz w:val="20"/>
          <w:szCs w:val="20"/>
          <w:lang w:val="en-GB"/>
        </w:rPr>
      </w:pPr>
    </w:p>
    <w:p w14:paraId="602A1C07" w14:textId="77777777" w:rsidR="000D71D7" w:rsidRPr="00B66EDA" w:rsidRDefault="00A724BF" w:rsidP="000D71D7">
      <w:pPr>
        <w:pStyle w:val="BodyText"/>
        <w:spacing w:after="120"/>
        <w:jc w:val="both"/>
        <w:rPr>
          <w:rFonts w:ascii="Arial" w:hAnsi="Arial" w:cs="Arial"/>
          <w:sz w:val="20"/>
          <w:szCs w:val="20"/>
          <w:lang w:val="en-GB"/>
        </w:rPr>
      </w:pPr>
      <w:r w:rsidRPr="008348C1">
        <w:rPr>
          <w:rFonts w:ascii="Arial" w:hAnsi="Arial" w:cs="Arial"/>
          <w:sz w:val="20"/>
          <w:szCs w:val="20"/>
          <w:lang w:val="en-GB"/>
        </w:rPr>
        <w:t xml:space="preserve">The operational boundary and authorised debt limits provide for the possibility that the remaining £49.6m balance within the Council’s Commercial Property Acquisition Fund </w:t>
      </w:r>
      <w:r w:rsidR="00380DE4">
        <w:rPr>
          <w:rFonts w:ascii="Arial" w:hAnsi="Arial" w:cs="Arial"/>
          <w:sz w:val="20"/>
          <w:szCs w:val="20"/>
          <w:lang w:val="en-GB"/>
        </w:rPr>
        <w:t>could</w:t>
      </w:r>
      <w:r w:rsidRPr="008348C1">
        <w:rPr>
          <w:rFonts w:ascii="Arial" w:hAnsi="Arial" w:cs="Arial"/>
          <w:sz w:val="20"/>
          <w:szCs w:val="20"/>
          <w:lang w:val="en-GB"/>
        </w:rPr>
        <w:t xml:space="preserve"> be spent in </w:t>
      </w:r>
      <w:r w:rsidR="008348C1" w:rsidRPr="008348C1">
        <w:rPr>
          <w:rFonts w:ascii="Arial" w:hAnsi="Arial" w:cs="Arial"/>
          <w:sz w:val="20"/>
          <w:szCs w:val="20"/>
          <w:lang w:val="en-GB"/>
        </w:rPr>
        <w:t>2</w:t>
      </w:r>
      <w:r w:rsidR="00980708">
        <w:rPr>
          <w:rFonts w:ascii="Arial" w:hAnsi="Arial" w:cs="Arial"/>
          <w:sz w:val="20"/>
          <w:szCs w:val="20"/>
          <w:lang w:val="en-GB"/>
        </w:rPr>
        <w:t>02</w:t>
      </w:r>
      <w:r w:rsidR="00380DE4">
        <w:rPr>
          <w:rFonts w:ascii="Arial" w:hAnsi="Arial" w:cs="Arial"/>
          <w:sz w:val="20"/>
          <w:szCs w:val="20"/>
          <w:lang w:val="en-GB"/>
        </w:rPr>
        <w:t>3</w:t>
      </w:r>
      <w:r w:rsidR="00980708">
        <w:rPr>
          <w:rFonts w:ascii="Arial" w:hAnsi="Arial" w:cs="Arial"/>
          <w:sz w:val="20"/>
          <w:szCs w:val="20"/>
          <w:lang w:val="en-GB"/>
        </w:rPr>
        <w:t>/2</w:t>
      </w:r>
      <w:r w:rsidR="00380DE4">
        <w:rPr>
          <w:rFonts w:ascii="Arial" w:hAnsi="Arial" w:cs="Arial"/>
          <w:sz w:val="20"/>
          <w:szCs w:val="20"/>
          <w:lang w:val="en-GB"/>
        </w:rPr>
        <w:t>4</w:t>
      </w:r>
      <w:r w:rsidR="00980708">
        <w:rPr>
          <w:rFonts w:ascii="Arial" w:hAnsi="Arial" w:cs="Arial"/>
          <w:sz w:val="20"/>
          <w:szCs w:val="20"/>
          <w:lang w:val="en-GB"/>
        </w:rPr>
        <w:t xml:space="preserve"> </w:t>
      </w:r>
      <w:r w:rsidRPr="008348C1">
        <w:rPr>
          <w:rFonts w:ascii="Arial" w:hAnsi="Arial" w:cs="Arial"/>
          <w:sz w:val="20"/>
          <w:szCs w:val="20"/>
          <w:lang w:val="en-GB"/>
        </w:rPr>
        <w:t xml:space="preserve">if suitable properties </w:t>
      </w:r>
      <w:r w:rsidR="00380DE4">
        <w:rPr>
          <w:rFonts w:ascii="Arial" w:hAnsi="Arial" w:cs="Arial"/>
          <w:sz w:val="20"/>
          <w:szCs w:val="20"/>
          <w:lang w:val="en-GB"/>
        </w:rPr>
        <w:t xml:space="preserve">are </w:t>
      </w:r>
      <w:r w:rsidRPr="008348C1">
        <w:rPr>
          <w:rFonts w:ascii="Arial" w:hAnsi="Arial" w:cs="Arial"/>
          <w:sz w:val="20"/>
          <w:szCs w:val="20"/>
          <w:lang w:val="en-GB"/>
        </w:rPr>
        <w:t>identified.</w:t>
      </w:r>
    </w:p>
    <w:p w14:paraId="4A822ABC" w14:textId="77777777" w:rsidR="000D71D7" w:rsidRPr="00B66EDA" w:rsidRDefault="000D71D7" w:rsidP="005E4307">
      <w:pPr>
        <w:pStyle w:val="BodyText"/>
        <w:spacing w:after="120"/>
        <w:jc w:val="both"/>
        <w:rPr>
          <w:rFonts w:ascii="Arial" w:hAnsi="Arial" w:cs="Arial"/>
          <w:sz w:val="20"/>
          <w:szCs w:val="20"/>
          <w:lang w:val="en-GB"/>
        </w:rPr>
      </w:pPr>
    </w:p>
    <w:p w14:paraId="7EAE413D" w14:textId="77777777" w:rsidR="00EB796A" w:rsidRPr="00B66EDA" w:rsidRDefault="00A724BF" w:rsidP="005E4307">
      <w:pPr>
        <w:pStyle w:val="BodyText"/>
        <w:spacing w:after="120"/>
        <w:jc w:val="both"/>
        <w:rPr>
          <w:rFonts w:ascii="Arial" w:hAnsi="Arial" w:cs="Arial"/>
          <w:sz w:val="20"/>
          <w:szCs w:val="20"/>
          <w:lang w:val="en-GB"/>
        </w:rPr>
      </w:pPr>
      <w:r w:rsidRPr="00B66EDA">
        <w:rPr>
          <w:rFonts w:ascii="Arial" w:hAnsi="Arial" w:cs="Arial"/>
          <w:b/>
          <w:sz w:val="20"/>
          <w:szCs w:val="20"/>
          <w:lang w:val="en-GB"/>
        </w:rPr>
        <w:t>The authorised limit for external debt.</w:t>
      </w:r>
      <w:r w:rsidRPr="00B66EDA">
        <w:rPr>
          <w:rFonts w:ascii="Arial" w:hAnsi="Arial" w:cs="Arial"/>
          <w:sz w:val="20"/>
          <w:szCs w:val="20"/>
          <w:lang w:val="en-GB"/>
        </w:rPr>
        <w:t xml:space="preserve"> This is a key prudential indicator and represents a control on the maximum level of borrowing. This represents a legal limit beyond which external debt is prohibited, and this limit needs to be set or revised by the full Council.  It reflects the level of external debt which, while not desired, could be afforded in the short term, but is not sustainable in the longer term.  </w:t>
      </w:r>
    </w:p>
    <w:p w14:paraId="7E09C448" w14:textId="77777777" w:rsidR="00EB796A" w:rsidRPr="00B66EDA" w:rsidRDefault="00A724BF" w:rsidP="00CF69B5">
      <w:pPr>
        <w:pStyle w:val="BodyText"/>
        <w:numPr>
          <w:ilvl w:val="0"/>
          <w:numId w:val="5"/>
        </w:numPr>
        <w:spacing w:after="120"/>
        <w:jc w:val="both"/>
        <w:rPr>
          <w:rFonts w:ascii="Arial" w:hAnsi="Arial" w:cs="Arial"/>
          <w:sz w:val="20"/>
          <w:szCs w:val="20"/>
          <w:lang w:val="en-GB"/>
        </w:rPr>
      </w:pPr>
      <w:r w:rsidRPr="00B66EDA">
        <w:rPr>
          <w:rFonts w:ascii="Arial" w:hAnsi="Arial" w:cs="Arial"/>
          <w:sz w:val="20"/>
          <w:szCs w:val="20"/>
          <w:lang w:val="en-GB"/>
        </w:rPr>
        <w:t>This is the statutory limit determined under section 3 (1) of the Local Government Act 2003. The Government retains an option to control either the total of all councils’ plans, or those of a specific council, although this power has not yet been exercised.</w:t>
      </w:r>
    </w:p>
    <w:p w14:paraId="57BBF990" w14:textId="77777777" w:rsidR="00EB796A" w:rsidRPr="00B66EDA" w:rsidRDefault="00A724BF" w:rsidP="00CF69B5">
      <w:pPr>
        <w:pStyle w:val="BodyText"/>
        <w:numPr>
          <w:ilvl w:val="0"/>
          <w:numId w:val="5"/>
        </w:numPr>
        <w:spacing w:after="120"/>
        <w:jc w:val="both"/>
        <w:rPr>
          <w:rFonts w:ascii="Arial" w:hAnsi="Arial" w:cs="Arial"/>
          <w:sz w:val="20"/>
          <w:szCs w:val="20"/>
          <w:lang w:val="en-GB"/>
        </w:rPr>
      </w:pPr>
      <w:r w:rsidRPr="00B66EDA">
        <w:rPr>
          <w:rFonts w:ascii="Arial" w:hAnsi="Arial" w:cs="Arial"/>
          <w:sz w:val="20"/>
          <w:szCs w:val="20"/>
          <w:lang w:val="en-GB"/>
        </w:rPr>
        <w:t>The Council is asked to approve the following authorised limit:</w:t>
      </w:r>
    </w:p>
    <w:tbl>
      <w:tblPr>
        <w:tblW w:w="9200" w:type="dxa"/>
        <w:tblLook w:val="04A0" w:firstRow="1" w:lastRow="0" w:firstColumn="1" w:lastColumn="0" w:noHBand="0" w:noVBand="1"/>
      </w:tblPr>
      <w:tblGrid>
        <w:gridCol w:w="2740"/>
        <w:gridCol w:w="1200"/>
        <w:gridCol w:w="1300"/>
        <w:gridCol w:w="1300"/>
        <w:gridCol w:w="1300"/>
        <w:gridCol w:w="1360"/>
      </w:tblGrid>
      <w:tr w:rsidR="002252C6" w14:paraId="3103F408" w14:textId="77777777" w:rsidTr="00380DE4">
        <w:trPr>
          <w:trHeight w:val="315"/>
        </w:trPr>
        <w:tc>
          <w:tcPr>
            <w:tcW w:w="2740" w:type="dxa"/>
            <w:vMerge w:val="restart"/>
            <w:tcBorders>
              <w:top w:val="single" w:sz="4" w:space="0" w:color="auto"/>
              <w:left w:val="single" w:sz="4" w:space="0" w:color="auto"/>
              <w:bottom w:val="single" w:sz="4" w:space="0" w:color="auto"/>
              <w:right w:val="single" w:sz="4" w:space="0" w:color="auto"/>
            </w:tcBorders>
            <w:shd w:val="clear" w:color="000000" w:fill="B3B3B3"/>
            <w:vAlign w:val="center"/>
            <w:hideMark/>
          </w:tcPr>
          <w:p w14:paraId="6161E972" w14:textId="77777777" w:rsidR="00380DE4" w:rsidRPr="00380DE4" w:rsidRDefault="00A724BF" w:rsidP="00380DE4">
            <w:pPr>
              <w:jc w:val="both"/>
              <w:rPr>
                <w:rFonts w:cs="Arial"/>
                <w:b/>
                <w:bCs/>
                <w:spacing w:val="0"/>
                <w:sz w:val="22"/>
                <w:szCs w:val="22"/>
                <w:lang w:eastAsia="en-GB"/>
              </w:rPr>
            </w:pPr>
            <w:r w:rsidRPr="00380DE4">
              <w:rPr>
                <w:rFonts w:cs="Arial"/>
                <w:b/>
                <w:bCs/>
                <w:spacing w:val="0"/>
                <w:sz w:val="22"/>
                <w:szCs w:val="22"/>
                <w:lang w:eastAsia="en-GB"/>
              </w:rPr>
              <w:t>Authorised limit £'000</w:t>
            </w:r>
          </w:p>
        </w:tc>
        <w:tc>
          <w:tcPr>
            <w:tcW w:w="1200" w:type="dxa"/>
            <w:tcBorders>
              <w:top w:val="single" w:sz="4" w:space="0" w:color="auto"/>
              <w:left w:val="nil"/>
              <w:bottom w:val="single" w:sz="4" w:space="0" w:color="auto"/>
              <w:right w:val="single" w:sz="4" w:space="0" w:color="auto"/>
            </w:tcBorders>
            <w:shd w:val="clear" w:color="000000" w:fill="B3B3B3"/>
            <w:vAlign w:val="center"/>
            <w:hideMark/>
          </w:tcPr>
          <w:p w14:paraId="044595FB"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2021/22</w:t>
            </w:r>
          </w:p>
        </w:tc>
        <w:tc>
          <w:tcPr>
            <w:tcW w:w="1300" w:type="dxa"/>
            <w:tcBorders>
              <w:top w:val="single" w:sz="4" w:space="0" w:color="auto"/>
              <w:left w:val="nil"/>
              <w:bottom w:val="single" w:sz="4" w:space="0" w:color="auto"/>
              <w:right w:val="single" w:sz="4" w:space="0" w:color="auto"/>
            </w:tcBorders>
            <w:shd w:val="clear" w:color="000000" w:fill="B3B3B3"/>
            <w:vAlign w:val="center"/>
            <w:hideMark/>
          </w:tcPr>
          <w:p w14:paraId="7C97704F"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2022/23</w:t>
            </w:r>
          </w:p>
        </w:tc>
        <w:tc>
          <w:tcPr>
            <w:tcW w:w="1300" w:type="dxa"/>
            <w:tcBorders>
              <w:top w:val="single" w:sz="4" w:space="0" w:color="auto"/>
              <w:left w:val="nil"/>
              <w:bottom w:val="single" w:sz="4" w:space="0" w:color="auto"/>
              <w:right w:val="single" w:sz="4" w:space="0" w:color="auto"/>
            </w:tcBorders>
            <w:shd w:val="clear" w:color="000000" w:fill="B3B3B3"/>
            <w:vAlign w:val="center"/>
            <w:hideMark/>
          </w:tcPr>
          <w:p w14:paraId="58BC7465"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2023/24</w:t>
            </w:r>
          </w:p>
        </w:tc>
        <w:tc>
          <w:tcPr>
            <w:tcW w:w="1300" w:type="dxa"/>
            <w:tcBorders>
              <w:top w:val="single" w:sz="4" w:space="0" w:color="auto"/>
              <w:left w:val="nil"/>
              <w:bottom w:val="single" w:sz="4" w:space="0" w:color="auto"/>
              <w:right w:val="single" w:sz="4" w:space="0" w:color="auto"/>
            </w:tcBorders>
            <w:shd w:val="clear" w:color="000000" w:fill="B3B3B3"/>
            <w:vAlign w:val="center"/>
            <w:hideMark/>
          </w:tcPr>
          <w:p w14:paraId="50CA1D88"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2024/25</w:t>
            </w:r>
          </w:p>
        </w:tc>
        <w:tc>
          <w:tcPr>
            <w:tcW w:w="1360" w:type="dxa"/>
            <w:tcBorders>
              <w:top w:val="single" w:sz="4" w:space="0" w:color="auto"/>
              <w:left w:val="nil"/>
              <w:bottom w:val="single" w:sz="4" w:space="0" w:color="auto"/>
              <w:right w:val="single" w:sz="4" w:space="0" w:color="auto"/>
            </w:tcBorders>
            <w:shd w:val="clear" w:color="000000" w:fill="B3B3B3"/>
            <w:vAlign w:val="center"/>
            <w:hideMark/>
          </w:tcPr>
          <w:p w14:paraId="74DBD840"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2025/26</w:t>
            </w:r>
          </w:p>
        </w:tc>
      </w:tr>
      <w:tr w:rsidR="002252C6" w14:paraId="1C02146D" w14:textId="77777777" w:rsidTr="00380DE4">
        <w:trPr>
          <w:trHeight w:val="315"/>
        </w:trPr>
        <w:tc>
          <w:tcPr>
            <w:tcW w:w="2740" w:type="dxa"/>
            <w:vMerge/>
            <w:tcBorders>
              <w:top w:val="single" w:sz="4" w:space="0" w:color="auto"/>
              <w:left w:val="single" w:sz="4" w:space="0" w:color="auto"/>
              <w:bottom w:val="single" w:sz="4" w:space="0" w:color="auto"/>
              <w:right w:val="single" w:sz="4" w:space="0" w:color="auto"/>
            </w:tcBorders>
            <w:vAlign w:val="center"/>
            <w:hideMark/>
          </w:tcPr>
          <w:p w14:paraId="7FB59638" w14:textId="77777777" w:rsidR="00380DE4" w:rsidRPr="00380DE4" w:rsidRDefault="00380DE4" w:rsidP="00380DE4">
            <w:pPr>
              <w:rPr>
                <w:rFonts w:cs="Arial"/>
                <w:b/>
                <w:bCs/>
                <w:spacing w:val="0"/>
                <w:sz w:val="22"/>
                <w:szCs w:val="22"/>
                <w:lang w:eastAsia="en-GB"/>
              </w:rPr>
            </w:pPr>
          </w:p>
        </w:tc>
        <w:tc>
          <w:tcPr>
            <w:tcW w:w="1200" w:type="dxa"/>
            <w:tcBorders>
              <w:top w:val="nil"/>
              <w:left w:val="nil"/>
              <w:bottom w:val="single" w:sz="4" w:space="0" w:color="auto"/>
              <w:right w:val="single" w:sz="4" w:space="0" w:color="auto"/>
            </w:tcBorders>
            <w:shd w:val="clear" w:color="000000" w:fill="B3B3B3"/>
            <w:vAlign w:val="center"/>
            <w:hideMark/>
          </w:tcPr>
          <w:p w14:paraId="7450CED6"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Actual</w:t>
            </w:r>
          </w:p>
        </w:tc>
        <w:tc>
          <w:tcPr>
            <w:tcW w:w="1300" w:type="dxa"/>
            <w:tcBorders>
              <w:top w:val="nil"/>
              <w:left w:val="nil"/>
              <w:bottom w:val="single" w:sz="4" w:space="0" w:color="auto"/>
              <w:right w:val="single" w:sz="4" w:space="0" w:color="auto"/>
            </w:tcBorders>
            <w:shd w:val="clear" w:color="000000" w:fill="B3B3B3"/>
            <w:vAlign w:val="center"/>
            <w:hideMark/>
          </w:tcPr>
          <w:p w14:paraId="5B1BE88B"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Estimate</w:t>
            </w:r>
          </w:p>
        </w:tc>
        <w:tc>
          <w:tcPr>
            <w:tcW w:w="1300" w:type="dxa"/>
            <w:tcBorders>
              <w:top w:val="nil"/>
              <w:left w:val="nil"/>
              <w:bottom w:val="single" w:sz="4" w:space="0" w:color="auto"/>
              <w:right w:val="single" w:sz="4" w:space="0" w:color="auto"/>
            </w:tcBorders>
            <w:shd w:val="clear" w:color="000000" w:fill="B3B3B3"/>
            <w:vAlign w:val="center"/>
            <w:hideMark/>
          </w:tcPr>
          <w:p w14:paraId="58B4FFA0"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Estimate</w:t>
            </w:r>
          </w:p>
        </w:tc>
        <w:tc>
          <w:tcPr>
            <w:tcW w:w="1300" w:type="dxa"/>
            <w:tcBorders>
              <w:top w:val="nil"/>
              <w:left w:val="nil"/>
              <w:bottom w:val="single" w:sz="4" w:space="0" w:color="auto"/>
              <w:right w:val="single" w:sz="4" w:space="0" w:color="auto"/>
            </w:tcBorders>
            <w:shd w:val="clear" w:color="000000" w:fill="B3B3B3"/>
            <w:vAlign w:val="center"/>
            <w:hideMark/>
          </w:tcPr>
          <w:p w14:paraId="32BF82E1"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Estimate</w:t>
            </w:r>
          </w:p>
        </w:tc>
        <w:tc>
          <w:tcPr>
            <w:tcW w:w="1360" w:type="dxa"/>
            <w:tcBorders>
              <w:top w:val="nil"/>
              <w:left w:val="nil"/>
              <w:bottom w:val="single" w:sz="4" w:space="0" w:color="auto"/>
              <w:right w:val="single" w:sz="4" w:space="0" w:color="auto"/>
            </w:tcBorders>
            <w:shd w:val="clear" w:color="000000" w:fill="B3B3B3"/>
            <w:vAlign w:val="center"/>
            <w:hideMark/>
          </w:tcPr>
          <w:p w14:paraId="780CBED6" w14:textId="77777777" w:rsidR="00380DE4" w:rsidRPr="00380DE4" w:rsidRDefault="00A724BF" w:rsidP="00380DE4">
            <w:pPr>
              <w:jc w:val="center"/>
              <w:rPr>
                <w:rFonts w:cs="Arial"/>
                <w:b/>
                <w:bCs/>
                <w:spacing w:val="0"/>
                <w:sz w:val="22"/>
                <w:szCs w:val="22"/>
                <w:lang w:eastAsia="en-GB"/>
              </w:rPr>
            </w:pPr>
            <w:r w:rsidRPr="00380DE4">
              <w:rPr>
                <w:rFonts w:cs="Arial"/>
                <w:b/>
                <w:bCs/>
                <w:spacing w:val="0"/>
                <w:sz w:val="22"/>
                <w:szCs w:val="22"/>
                <w:lang w:eastAsia="en-GB"/>
              </w:rPr>
              <w:t>Estimate</w:t>
            </w:r>
          </w:p>
        </w:tc>
      </w:tr>
      <w:tr w:rsidR="002252C6" w14:paraId="3E9F12DF" w14:textId="77777777" w:rsidTr="00380DE4">
        <w:trPr>
          <w:trHeight w:val="570"/>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16D656AB" w14:textId="77777777" w:rsidR="00380DE4" w:rsidRPr="00380DE4" w:rsidRDefault="00A724BF" w:rsidP="00380DE4">
            <w:pPr>
              <w:jc w:val="both"/>
              <w:rPr>
                <w:rFonts w:cs="Arial"/>
                <w:spacing w:val="0"/>
                <w:sz w:val="22"/>
                <w:szCs w:val="22"/>
                <w:lang w:eastAsia="en-GB"/>
              </w:rPr>
            </w:pPr>
            <w:r w:rsidRPr="00380DE4">
              <w:rPr>
                <w:rFonts w:cs="Arial"/>
                <w:spacing w:val="0"/>
                <w:sz w:val="22"/>
                <w:szCs w:val="22"/>
                <w:lang w:eastAsia="en-GB"/>
              </w:rPr>
              <w:t>Debt relating to commercial property fund</w:t>
            </w:r>
          </w:p>
        </w:tc>
        <w:tc>
          <w:tcPr>
            <w:tcW w:w="1200" w:type="dxa"/>
            <w:tcBorders>
              <w:top w:val="nil"/>
              <w:left w:val="nil"/>
              <w:bottom w:val="single" w:sz="4" w:space="0" w:color="auto"/>
              <w:right w:val="single" w:sz="4" w:space="0" w:color="auto"/>
            </w:tcBorders>
            <w:shd w:val="clear" w:color="auto" w:fill="auto"/>
            <w:vAlign w:val="center"/>
            <w:hideMark/>
          </w:tcPr>
          <w:p w14:paraId="37C79305"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90,277</w:t>
            </w:r>
          </w:p>
        </w:tc>
        <w:tc>
          <w:tcPr>
            <w:tcW w:w="1300" w:type="dxa"/>
            <w:tcBorders>
              <w:top w:val="nil"/>
              <w:left w:val="nil"/>
              <w:bottom w:val="single" w:sz="4" w:space="0" w:color="auto"/>
              <w:right w:val="single" w:sz="4" w:space="0" w:color="auto"/>
            </w:tcBorders>
            <w:shd w:val="clear" w:color="auto" w:fill="auto"/>
            <w:vAlign w:val="center"/>
            <w:hideMark/>
          </w:tcPr>
          <w:p w14:paraId="7E6009CB"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145,000</w:t>
            </w:r>
          </w:p>
        </w:tc>
        <w:tc>
          <w:tcPr>
            <w:tcW w:w="1300" w:type="dxa"/>
            <w:tcBorders>
              <w:top w:val="nil"/>
              <w:left w:val="nil"/>
              <w:bottom w:val="single" w:sz="4" w:space="0" w:color="auto"/>
              <w:right w:val="single" w:sz="4" w:space="0" w:color="auto"/>
            </w:tcBorders>
            <w:shd w:val="clear" w:color="auto" w:fill="auto"/>
            <w:vAlign w:val="center"/>
            <w:hideMark/>
          </w:tcPr>
          <w:p w14:paraId="4564AEED"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145,000</w:t>
            </w:r>
          </w:p>
        </w:tc>
        <w:tc>
          <w:tcPr>
            <w:tcW w:w="1300" w:type="dxa"/>
            <w:tcBorders>
              <w:top w:val="nil"/>
              <w:left w:val="nil"/>
              <w:bottom w:val="single" w:sz="4" w:space="0" w:color="auto"/>
              <w:right w:val="single" w:sz="4" w:space="0" w:color="auto"/>
            </w:tcBorders>
            <w:shd w:val="clear" w:color="auto" w:fill="auto"/>
            <w:vAlign w:val="center"/>
            <w:hideMark/>
          </w:tcPr>
          <w:p w14:paraId="42978F71"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145,000</w:t>
            </w:r>
          </w:p>
        </w:tc>
        <w:tc>
          <w:tcPr>
            <w:tcW w:w="1360" w:type="dxa"/>
            <w:tcBorders>
              <w:top w:val="nil"/>
              <w:left w:val="nil"/>
              <w:bottom w:val="single" w:sz="4" w:space="0" w:color="auto"/>
              <w:right w:val="single" w:sz="4" w:space="0" w:color="auto"/>
            </w:tcBorders>
            <w:shd w:val="clear" w:color="auto" w:fill="auto"/>
            <w:vAlign w:val="center"/>
            <w:hideMark/>
          </w:tcPr>
          <w:p w14:paraId="4B66B79E"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145,000</w:t>
            </w:r>
          </w:p>
        </w:tc>
      </w:tr>
      <w:tr w:rsidR="002252C6" w14:paraId="1064FBB6" w14:textId="77777777" w:rsidTr="00380DE4">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77A3D31E" w14:textId="77777777" w:rsidR="00380DE4" w:rsidRPr="00380DE4" w:rsidRDefault="00A724BF" w:rsidP="00380DE4">
            <w:pPr>
              <w:jc w:val="both"/>
              <w:rPr>
                <w:rFonts w:cs="Arial"/>
                <w:spacing w:val="0"/>
                <w:sz w:val="22"/>
                <w:szCs w:val="22"/>
                <w:lang w:eastAsia="en-GB"/>
              </w:rPr>
            </w:pPr>
            <w:r w:rsidRPr="00380DE4">
              <w:rPr>
                <w:rFonts w:cs="Arial"/>
                <w:spacing w:val="0"/>
                <w:sz w:val="22"/>
                <w:szCs w:val="22"/>
                <w:lang w:eastAsia="en-GB"/>
              </w:rPr>
              <w:t xml:space="preserve">Other </w:t>
            </w:r>
            <w:proofErr w:type="gramStart"/>
            <w:r w:rsidRPr="00380DE4">
              <w:rPr>
                <w:rFonts w:cs="Arial"/>
                <w:spacing w:val="0"/>
                <w:sz w:val="22"/>
                <w:szCs w:val="22"/>
                <w:lang w:eastAsia="en-GB"/>
              </w:rPr>
              <w:t>long term</w:t>
            </w:r>
            <w:proofErr w:type="gramEnd"/>
            <w:r w:rsidRPr="00380DE4">
              <w:rPr>
                <w:rFonts w:cs="Arial"/>
                <w:spacing w:val="0"/>
                <w:sz w:val="22"/>
                <w:szCs w:val="22"/>
                <w:lang w:eastAsia="en-GB"/>
              </w:rPr>
              <w:t xml:space="preserve"> liabilities</w:t>
            </w:r>
          </w:p>
        </w:tc>
        <w:tc>
          <w:tcPr>
            <w:tcW w:w="1200" w:type="dxa"/>
            <w:tcBorders>
              <w:top w:val="nil"/>
              <w:left w:val="nil"/>
              <w:bottom w:val="single" w:sz="4" w:space="0" w:color="auto"/>
              <w:right w:val="single" w:sz="4" w:space="0" w:color="auto"/>
            </w:tcBorders>
            <w:shd w:val="clear" w:color="auto" w:fill="auto"/>
            <w:vAlign w:val="center"/>
            <w:hideMark/>
          </w:tcPr>
          <w:p w14:paraId="62E72B7E"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2,287</w:t>
            </w:r>
          </w:p>
        </w:tc>
        <w:tc>
          <w:tcPr>
            <w:tcW w:w="1300" w:type="dxa"/>
            <w:tcBorders>
              <w:top w:val="nil"/>
              <w:left w:val="nil"/>
              <w:bottom w:val="single" w:sz="4" w:space="0" w:color="auto"/>
              <w:right w:val="single" w:sz="4" w:space="0" w:color="auto"/>
            </w:tcBorders>
            <w:shd w:val="clear" w:color="auto" w:fill="auto"/>
            <w:vAlign w:val="center"/>
            <w:hideMark/>
          </w:tcPr>
          <w:p w14:paraId="597C7BE1"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3,000</w:t>
            </w:r>
          </w:p>
        </w:tc>
        <w:tc>
          <w:tcPr>
            <w:tcW w:w="1300" w:type="dxa"/>
            <w:tcBorders>
              <w:top w:val="nil"/>
              <w:left w:val="nil"/>
              <w:bottom w:val="single" w:sz="4" w:space="0" w:color="auto"/>
              <w:right w:val="single" w:sz="4" w:space="0" w:color="auto"/>
            </w:tcBorders>
            <w:shd w:val="clear" w:color="auto" w:fill="auto"/>
            <w:vAlign w:val="center"/>
            <w:hideMark/>
          </w:tcPr>
          <w:p w14:paraId="17A9514A"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3,000</w:t>
            </w:r>
          </w:p>
        </w:tc>
        <w:tc>
          <w:tcPr>
            <w:tcW w:w="1300" w:type="dxa"/>
            <w:tcBorders>
              <w:top w:val="nil"/>
              <w:left w:val="nil"/>
              <w:bottom w:val="single" w:sz="4" w:space="0" w:color="auto"/>
              <w:right w:val="single" w:sz="4" w:space="0" w:color="auto"/>
            </w:tcBorders>
            <w:shd w:val="clear" w:color="auto" w:fill="auto"/>
            <w:vAlign w:val="center"/>
            <w:hideMark/>
          </w:tcPr>
          <w:p w14:paraId="55A04299"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3,000</w:t>
            </w:r>
          </w:p>
        </w:tc>
        <w:tc>
          <w:tcPr>
            <w:tcW w:w="1360" w:type="dxa"/>
            <w:tcBorders>
              <w:top w:val="nil"/>
              <w:left w:val="nil"/>
              <w:bottom w:val="single" w:sz="4" w:space="0" w:color="auto"/>
              <w:right w:val="single" w:sz="4" w:space="0" w:color="auto"/>
            </w:tcBorders>
            <w:shd w:val="clear" w:color="auto" w:fill="auto"/>
            <w:vAlign w:val="center"/>
            <w:hideMark/>
          </w:tcPr>
          <w:p w14:paraId="0027C2B3" w14:textId="77777777" w:rsidR="00380DE4" w:rsidRPr="00380DE4" w:rsidRDefault="00A724BF" w:rsidP="00380DE4">
            <w:pPr>
              <w:jc w:val="right"/>
              <w:rPr>
                <w:rFonts w:cs="Arial"/>
                <w:spacing w:val="0"/>
                <w:sz w:val="22"/>
                <w:szCs w:val="22"/>
                <w:lang w:eastAsia="en-GB"/>
              </w:rPr>
            </w:pPr>
            <w:r w:rsidRPr="00380DE4">
              <w:rPr>
                <w:rFonts w:cs="Arial"/>
                <w:spacing w:val="0"/>
                <w:sz w:val="22"/>
                <w:szCs w:val="22"/>
                <w:lang w:eastAsia="en-GB"/>
              </w:rPr>
              <w:t>3,000</w:t>
            </w:r>
          </w:p>
        </w:tc>
      </w:tr>
      <w:tr w:rsidR="002252C6" w14:paraId="1922E391" w14:textId="77777777" w:rsidTr="00380DE4">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0D192ED1" w14:textId="77777777" w:rsidR="00380DE4" w:rsidRPr="00380DE4" w:rsidRDefault="00A724BF" w:rsidP="00380DE4">
            <w:pPr>
              <w:jc w:val="both"/>
              <w:rPr>
                <w:rFonts w:cs="Arial"/>
                <w:b/>
                <w:bCs/>
                <w:spacing w:val="0"/>
                <w:sz w:val="22"/>
                <w:szCs w:val="22"/>
                <w:lang w:eastAsia="en-GB"/>
              </w:rPr>
            </w:pPr>
            <w:r w:rsidRPr="00380DE4">
              <w:rPr>
                <w:rFonts w:cs="Arial"/>
                <w:b/>
                <w:bCs/>
                <w:spacing w:val="0"/>
                <w:sz w:val="22"/>
                <w:szCs w:val="22"/>
                <w:lang w:eastAsia="en-GB"/>
              </w:rPr>
              <w:t>Total</w:t>
            </w:r>
          </w:p>
        </w:tc>
        <w:tc>
          <w:tcPr>
            <w:tcW w:w="1200" w:type="dxa"/>
            <w:tcBorders>
              <w:top w:val="nil"/>
              <w:left w:val="nil"/>
              <w:bottom w:val="single" w:sz="4" w:space="0" w:color="auto"/>
              <w:right w:val="single" w:sz="4" w:space="0" w:color="auto"/>
            </w:tcBorders>
            <w:shd w:val="clear" w:color="auto" w:fill="auto"/>
            <w:vAlign w:val="center"/>
            <w:hideMark/>
          </w:tcPr>
          <w:p w14:paraId="1A25C487" w14:textId="77777777" w:rsidR="00380DE4" w:rsidRPr="00380DE4" w:rsidRDefault="00A724BF" w:rsidP="00380DE4">
            <w:pPr>
              <w:jc w:val="right"/>
              <w:rPr>
                <w:rFonts w:cs="Arial"/>
                <w:b/>
                <w:bCs/>
                <w:spacing w:val="0"/>
                <w:sz w:val="22"/>
                <w:szCs w:val="22"/>
                <w:lang w:eastAsia="en-GB"/>
              </w:rPr>
            </w:pPr>
            <w:r w:rsidRPr="00380DE4">
              <w:rPr>
                <w:rFonts w:cs="Arial"/>
                <w:b/>
                <w:bCs/>
                <w:spacing w:val="0"/>
                <w:sz w:val="22"/>
                <w:szCs w:val="22"/>
                <w:lang w:eastAsia="en-GB"/>
              </w:rPr>
              <w:t>92,564</w:t>
            </w:r>
          </w:p>
        </w:tc>
        <w:tc>
          <w:tcPr>
            <w:tcW w:w="1300" w:type="dxa"/>
            <w:tcBorders>
              <w:top w:val="nil"/>
              <w:left w:val="nil"/>
              <w:bottom w:val="single" w:sz="4" w:space="0" w:color="auto"/>
              <w:right w:val="single" w:sz="4" w:space="0" w:color="auto"/>
            </w:tcBorders>
            <w:shd w:val="clear" w:color="auto" w:fill="auto"/>
            <w:vAlign w:val="center"/>
            <w:hideMark/>
          </w:tcPr>
          <w:p w14:paraId="35F12858" w14:textId="77777777" w:rsidR="00380DE4" w:rsidRPr="00380DE4" w:rsidRDefault="00A724BF" w:rsidP="00380DE4">
            <w:pPr>
              <w:jc w:val="right"/>
              <w:rPr>
                <w:rFonts w:cs="Arial"/>
                <w:b/>
                <w:bCs/>
                <w:spacing w:val="0"/>
                <w:sz w:val="22"/>
                <w:szCs w:val="22"/>
                <w:lang w:eastAsia="en-GB"/>
              </w:rPr>
            </w:pPr>
            <w:r w:rsidRPr="00380DE4">
              <w:rPr>
                <w:rFonts w:cs="Arial"/>
                <w:b/>
                <w:bCs/>
                <w:spacing w:val="0"/>
                <w:sz w:val="22"/>
                <w:szCs w:val="22"/>
                <w:lang w:eastAsia="en-GB"/>
              </w:rPr>
              <w:t>148,000</w:t>
            </w:r>
          </w:p>
        </w:tc>
        <w:tc>
          <w:tcPr>
            <w:tcW w:w="1300" w:type="dxa"/>
            <w:tcBorders>
              <w:top w:val="nil"/>
              <w:left w:val="nil"/>
              <w:bottom w:val="single" w:sz="4" w:space="0" w:color="auto"/>
              <w:right w:val="single" w:sz="4" w:space="0" w:color="auto"/>
            </w:tcBorders>
            <w:shd w:val="clear" w:color="auto" w:fill="auto"/>
            <w:vAlign w:val="center"/>
            <w:hideMark/>
          </w:tcPr>
          <w:p w14:paraId="7FA597EE" w14:textId="77777777" w:rsidR="00380DE4" w:rsidRPr="00380DE4" w:rsidRDefault="00A724BF" w:rsidP="00380DE4">
            <w:pPr>
              <w:jc w:val="right"/>
              <w:rPr>
                <w:rFonts w:cs="Arial"/>
                <w:b/>
                <w:bCs/>
                <w:spacing w:val="0"/>
                <w:sz w:val="22"/>
                <w:szCs w:val="22"/>
                <w:lang w:eastAsia="en-GB"/>
              </w:rPr>
            </w:pPr>
            <w:r w:rsidRPr="00380DE4">
              <w:rPr>
                <w:rFonts w:cs="Arial"/>
                <w:b/>
                <w:bCs/>
                <w:spacing w:val="0"/>
                <w:sz w:val="22"/>
                <w:szCs w:val="22"/>
                <w:lang w:eastAsia="en-GB"/>
              </w:rPr>
              <w:t>148,000</w:t>
            </w:r>
          </w:p>
        </w:tc>
        <w:tc>
          <w:tcPr>
            <w:tcW w:w="1300" w:type="dxa"/>
            <w:tcBorders>
              <w:top w:val="nil"/>
              <w:left w:val="nil"/>
              <w:bottom w:val="single" w:sz="4" w:space="0" w:color="auto"/>
              <w:right w:val="single" w:sz="4" w:space="0" w:color="auto"/>
            </w:tcBorders>
            <w:shd w:val="clear" w:color="auto" w:fill="auto"/>
            <w:vAlign w:val="center"/>
            <w:hideMark/>
          </w:tcPr>
          <w:p w14:paraId="0EC28152" w14:textId="77777777" w:rsidR="00380DE4" w:rsidRPr="00380DE4" w:rsidRDefault="00A724BF" w:rsidP="00380DE4">
            <w:pPr>
              <w:jc w:val="right"/>
              <w:rPr>
                <w:rFonts w:cs="Arial"/>
                <w:b/>
                <w:bCs/>
                <w:spacing w:val="0"/>
                <w:sz w:val="22"/>
                <w:szCs w:val="22"/>
                <w:lang w:eastAsia="en-GB"/>
              </w:rPr>
            </w:pPr>
            <w:r w:rsidRPr="00380DE4">
              <w:rPr>
                <w:rFonts w:cs="Arial"/>
                <w:b/>
                <w:bCs/>
                <w:spacing w:val="0"/>
                <w:sz w:val="22"/>
                <w:szCs w:val="22"/>
                <w:lang w:eastAsia="en-GB"/>
              </w:rPr>
              <w:t>148,000</w:t>
            </w:r>
          </w:p>
        </w:tc>
        <w:tc>
          <w:tcPr>
            <w:tcW w:w="1360" w:type="dxa"/>
            <w:tcBorders>
              <w:top w:val="nil"/>
              <w:left w:val="nil"/>
              <w:bottom w:val="single" w:sz="4" w:space="0" w:color="auto"/>
              <w:right w:val="single" w:sz="4" w:space="0" w:color="auto"/>
            </w:tcBorders>
            <w:shd w:val="clear" w:color="auto" w:fill="auto"/>
            <w:vAlign w:val="center"/>
            <w:hideMark/>
          </w:tcPr>
          <w:p w14:paraId="56E7E401" w14:textId="77777777" w:rsidR="00380DE4" w:rsidRPr="00380DE4" w:rsidRDefault="00A724BF" w:rsidP="00380DE4">
            <w:pPr>
              <w:jc w:val="right"/>
              <w:rPr>
                <w:rFonts w:cs="Arial"/>
                <w:b/>
                <w:bCs/>
                <w:spacing w:val="0"/>
                <w:sz w:val="22"/>
                <w:szCs w:val="22"/>
                <w:lang w:eastAsia="en-GB"/>
              </w:rPr>
            </w:pPr>
            <w:r w:rsidRPr="00380DE4">
              <w:rPr>
                <w:rFonts w:cs="Arial"/>
                <w:b/>
                <w:bCs/>
                <w:spacing w:val="0"/>
                <w:sz w:val="22"/>
                <w:szCs w:val="22"/>
                <w:lang w:eastAsia="en-GB"/>
              </w:rPr>
              <w:t>148,000</w:t>
            </w:r>
          </w:p>
        </w:tc>
      </w:tr>
    </w:tbl>
    <w:p w14:paraId="6A80E60C" w14:textId="77777777" w:rsidR="00203B18" w:rsidRDefault="00203B18" w:rsidP="005E4307">
      <w:pPr>
        <w:autoSpaceDE w:val="0"/>
        <w:autoSpaceDN w:val="0"/>
        <w:adjustRightInd w:val="0"/>
        <w:jc w:val="both"/>
        <w:rPr>
          <w:rFonts w:cs="Arial"/>
          <w:iCs/>
          <w:color w:val="0000FF"/>
        </w:rPr>
      </w:pPr>
    </w:p>
    <w:p w14:paraId="6E065949" w14:textId="77777777" w:rsidR="00203B18" w:rsidRDefault="00203B18" w:rsidP="005E4307">
      <w:pPr>
        <w:autoSpaceDE w:val="0"/>
        <w:autoSpaceDN w:val="0"/>
        <w:adjustRightInd w:val="0"/>
        <w:jc w:val="both"/>
        <w:rPr>
          <w:rFonts w:cs="Arial"/>
          <w:iCs/>
          <w:color w:val="0000FF"/>
        </w:rPr>
      </w:pPr>
    </w:p>
    <w:p w14:paraId="049C3A30" w14:textId="77777777" w:rsidR="00EB796A" w:rsidRPr="00B66EDA" w:rsidRDefault="00A724BF" w:rsidP="00EF68C2">
      <w:pPr>
        <w:pStyle w:val="subhead"/>
        <w:pageBreakBefore/>
        <w:ind w:left="357" w:hanging="357"/>
        <w:rPr>
          <w:noProof w:val="0"/>
          <w:sz w:val="20"/>
          <w:szCs w:val="20"/>
        </w:rPr>
      </w:pPr>
      <w:bookmarkStart w:id="123" w:name="_Toc56008274"/>
      <w:r w:rsidRPr="00B66EDA">
        <w:rPr>
          <w:noProof w:val="0"/>
          <w:sz w:val="20"/>
          <w:szCs w:val="20"/>
        </w:rPr>
        <w:lastRenderedPageBreak/>
        <w:t>Prospects for interest rates</w:t>
      </w:r>
      <w:bookmarkEnd w:id="123"/>
    </w:p>
    <w:p w14:paraId="7870EFDE" w14:textId="77777777" w:rsidR="000E74F8" w:rsidRPr="00B66EDA" w:rsidRDefault="00A724BF" w:rsidP="000E74F8">
      <w:pPr>
        <w:numPr>
          <w:ilvl w:val="12"/>
          <w:numId w:val="0"/>
        </w:numPr>
        <w:jc w:val="both"/>
        <w:rPr>
          <w:rFonts w:eastAsia="Calibri" w:cs="Arial"/>
          <w:spacing w:val="0"/>
          <w:lang w:val="en-AU"/>
        </w:rPr>
      </w:pPr>
      <w:r w:rsidRPr="00B66EDA">
        <w:rPr>
          <w:rFonts w:eastAsia="Calibri" w:cs="Arial"/>
          <w:spacing w:val="0"/>
        </w:rPr>
        <w:t xml:space="preserve">The Council has appointed Link Group as its treasury advisor and part of their service is to assist the Council to formulate a view on interest rates. </w:t>
      </w:r>
      <w:r w:rsidRPr="00B66EDA">
        <w:rPr>
          <w:rFonts w:eastAsia="Calibri" w:cs="Arial"/>
          <w:spacing w:val="0"/>
          <w:lang w:val="en-AU"/>
        </w:rPr>
        <w:t xml:space="preserve">Link provided the following forecasts on </w:t>
      </w:r>
      <w:r w:rsidR="00980708">
        <w:rPr>
          <w:rFonts w:eastAsia="Calibri" w:cs="Arial"/>
          <w:spacing w:val="0"/>
          <w:lang w:val="en-AU"/>
        </w:rPr>
        <w:t>08</w:t>
      </w:r>
      <w:r w:rsidR="00BB0441">
        <w:rPr>
          <w:rFonts w:eastAsia="Calibri" w:cs="Arial"/>
          <w:spacing w:val="0"/>
          <w:lang w:val="en-AU"/>
        </w:rPr>
        <w:t xml:space="preserve"> </w:t>
      </w:r>
      <w:r w:rsidR="00980708">
        <w:rPr>
          <w:rFonts w:eastAsia="Calibri" w:cs="Arial"/>
          <w:spacing w:val="0"/>
          <w:lang w:val="en-AU"/>
        </w:rPr>
        <w:t>November 2022</w:t>
      </w:r>
      <w:r w:rsidR="00BB0441">
        <w:rPr>
          <w:rFonts w:eastAsia="Calibri" w:cs="Arial"/>
          <w:spacing w:val="0"/>
          <w:lang w:val="en-AU"/>
        </w:rPr>
        <w:t>.</w:t>
      </w:r>
      <w:r w:rsidRPr="00B66EDA">
        <w:rPr>
          <w:rFonts w:eastAsia="Calibri" w:cs="Arial"/>
          <w:spacing w:val="0"/>
          <w:lang w:val="en-AU"/>
        </w:rPr>
        <w:t xml:space="preserve"> These are forecasts for certainty rates, gilt yields plus 80bps:</w:t>
      </w:r>
    </w:p>
    <w:p w14:paraId="1FAF0CD7" w14:textId="77777777" w:rsidR="000E74F8" w:rsidRPr="00B66EDA" w:rsidRDefault="000E74F8" w:rsidP="000E74F8">
      <w:pPr>
        <w:numPr>
          <w:ilvl w:val="12"/>
          <w:numId w:val="0"/>
        </w:numPr>
        <w:jc w:val="both"/>
        <w:rPr>
          <w:rFonts w:eastAsia="Calibri" w:cs="Arial"/>
          <w:i/>
          <w:spacing w:val="0"/>
          <w:lang w:val="en-AU"/>
        </w:rPr>
      </w:pPr>
    </w:p>
    <w:p w14:paraId="198C4AE1" w14:textId="77777777" w:rsidR="000E74F8" w:rsidRPr="00B66EDA" w:rsidRDefault="00A724BF" w:rsidP="00BB0441">
      <w:pPr>
        <w:numPr>
          <w:ilvl w:val="12"/>
          <w:numId w:val="0"/>
        </w:numPr>
        <w:jc w:val="center"/>
        <w:rPr>
          <w:rFonts w:eastAsia="Calibri" w:cs="Arial"/>
          <w:i/>
          <w:spacing w:val="0"/>
          <w:lang w:val="en-AU"/>
        </w:rPr>
      </w:pPr>
      <w:r>
        <w:rPr>
          <w:rFonts w:eastAsia="Calibri" w:cs="Arial"/>
          <w:noProof/>
          <w:spacing w:val="0"/>
          <w:sz w:val="22"/>
          <w:szCs w:val="22"/>
          <w:lang w:val="en-AU"/>
        </w:rPr>
        <w:drawing>
          <wp:inline distT="0" distB="0" distL="0" distR="0" wp14:anchorId="5F8A7967" wp14:editId="5E605017">
            <wp:extent cx="5278120" cy="1152115"/>
            <wp:effectExtent l="0" t="0" r="0" b="0"/>
            <wp:docPr id="5" name="Picture 5"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002417" name="Picture 5" descr="A picture containing tabl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278120" cy="1152115"/>
                    </a:xfrm>
                    <a:prstGeom prst="rect">
                      <a:avLst/>
                    </a:prstGeom>
                    <a:noFill/>
                  </pic:spPr>
                </pic:pic>
              </a:graphicData>
            </a:graphic>
          </wp:inline>
        </w:drawing>
      </w:r>
    </w:p>
    <w:p w14:paraId="36216B1D" w14:textId="77777777" w:rsidR="000E74F8" w:rsidRPr="00B66EDA" w:rsidRDefault="000E74F8" w:rsidP="000E74F8">
      <w:pPr>
        <w:numPr>
          <w:ilvl w:val="12"/>
          <w:numId w:val="0"/>
        </w:numPr>
        <w:jc w:val="both"/>
        <w:rPr>
          <w:rFonts w:eastAsia="Calibri" w:cs="Arial"/>
          <w:i/>
          <w:spacing w:val="0"/>
          <w:lang w:val="en-AU"/>
        </w:rPr>
      </w:pPr>
    </w:p>
    <w:p w14:paraId="3B16F50D" w14:textId="77777777" w:rsidR="00BB0441" w:rsidRDefault="00BB0441" w:rsidP="00F370AF">
      <w:pPr>
        <w:numPr>
          <w:ilvl w:val="12"/>
          <w:numId w:val="0"/>
        </w:numPr>
        <w:jc w:val="both"/>
        <w:rPr>
          <w:rFonts w:eastAsia="Calibri" w:cs="Arial"/>
          <w:spacing w:val="0"/>
          <w:lang w:val="en-AU"/>
        </w:rPr>
      </w:pPr>
    </w:p>
    <w:p w14:paraId="7AC3D26E" w14:textId="77777777" w:rsidR="00EB796A" w:rsidRPr="00B66EDA" w:rsidRDefault="00A724BF" w:rsidP="007919AA">
      <w:pPr>
        <w:pStyle w:val="subhead"/>
        <w:ind w:left="357" w:hanging="357"/>
        <w:rPr>
          <w:noProof w:val="0"/>
          <w:sz w:val="20"/>
          <w:szCs w:val="20"/>
        </w:rPr>
      </w:pPr>
      <w:r w:rsidRPr="00B66EDA">
        <w:rPr>
          <w:noProof w:val="0"/>
          <w:sz w:val="20"/>
          <w:szCs w:val="20"/>
        </w:rPr>
        <w:t xml:space="preserve">       </w:t>
      </w:r>
      <w:bookmarkStart w:id="124" w:name="_Toc56008275"/>
      <w:r w:rsidRPr="00B66EDA">
        <w:rPr>
          <w:noProof w:val="0"/>
          <w:sz w:val="20"/>
          <w:szCs w:val="20"/>
        </w:rPr>
        <w:t>Borrowing strategy</w:t>
      </w:r>
      <w:bookmarkEnd w:id="124"/>
      <w:r w:rsidRPr="00B66EDA">
        <w:rPr>
          <w:noProof w:val="0"/>
          <w:sz w:val="20"/>
          <w:szCs w:val="20"/>
        </w:rPr>
        <w:t xml:space="preserve"> </w:t>
      </w:r>
    </w:p>
    <w:p w14:paraId="456CB694" w14:textId="77777777" w:rsidR="00E47EBD" w:rsidRPr="00B66EDA" w:rsidRDefault="00A724BF" w:rsidP="00980708">
      <w:pPr>
        <w:numPr>
          <w:ilvl w:val="12"/>
          <w:numId w:val="0"/>
        </w:numPr>
        <w:spacing w:before="90"/>
        <w:ind w:left="300"/>
        <w:jc w:val="both"/>
        <w:rPr>
          <w:rFonts w:cs="Arial"/>
        </w:rPr>
      </w:pPr>
      <w:r w:rsidRPr="00B66EDA">
        <w:rPr>
          <w:rFonts w:cs="Arial"/>
        </w:rPr>
        <w:t xml:space="preserve">The Council is currently maintaining an under-borrowed position.  This means that the capital borrowing need (the Capital Financing Requirement), has not been fully funded with loan debt as cash supporting the Council’s reserves, balances and cash flow has been used as a temporary measure. This strategy is prudent as </w:t>
      </w:r>
      <w:r w:rsidR="00980708" w:rsidRPr="00980708">
        <w:rPr>
          <w:rFonts w:cs="Arial"/>
        </w:rPr>
        <w:t>medium and longer dated borrowing rates are expected to fall from their current levels once prevailing inflation concerns are addressed by tighter near-term monetary policy</w:t>
      </w:r>
      <w:r w:rsidR="00980708">
        <w:rPr>
          <w:rFonts w:cs="Arial"/>
        </w:rPr>
        <w:t>. In addition,</w:t>
      </w:r>
      <w:r w:rsidRPr="00B66EDA">
        <w:rPr>
          <w:rFonts w:cs="Arial"/>
        </w:rPr>
        <w:t xml:space="preserve"> counterparty risk is an issue that needs to be considered.</w:t>
      </w:r>
    </w:p>
    <w:p w14:paraId="76A525E7" w14:textId="77777777" w:rsidR="00E47EBD" w:rsidRPr="00B66EDA" w:rsidRDefault="00A724BF" w:rsidP="00E47EBD">
      <w:pPr>
        <w:numPr>
          <w:ilvl w:val="12"/>
          <w:numId w:val="0"/>
        </w:numPr>
        <w:spacing w:before="90"/>
        <w:ind w:left="300"/>
        <w:jc w:val="both"/>
        <w:rPr>
          <w:rFonts w:cs="Arial"/>
        </w:rPr>
      </w:pPr>
      <w:r w:rsidRPr="00B66EDA">
        <w:rPr>
          <w:rFonts w:cs="Arial"/>
        </w:rPr>
        <w:t xml:space="preserve">Against this background and the risks within the economic forecast, caution will be adopted with the </w:t>
      </w:r>
      <w:r w:rsidR="00980708">
        <w:rPr>
          <w:rFonts w:cs="Arial"/>
        </w:rPr>
        <w:t>2023/24</w:t>
      </w:r>
      <w:r w:rsidRPr="00B66EDA">
        <w:rPr>
          <w:rFonts w:cs="Arial"/>
        </w:rPr>
        <w:t xml:space="preserve"> treasury operations. The Chief Finance Officer will monitor interest rates in financial markets and adopt a pragmatic approach to changing circumstances:</w:t>
      </w:r>
    </w:p>
    <w:p w14:paraId="38ABFC77" w14:textId="77777777" w:rsidR="00E47EBD" w:rsidRPr="00B66EDA" w:rsidRDefault="00E47EBD" w:rsidP="00E47EBD">
      <w:pPr>
        <w:numPr>
          <w:ilvl w:val="12"/>
          <w:numId w:val="0"/>
        </w:numPr>
        <w:spacing w:before="90"/>
        <w:ind w:left="300"/>
        <w:jc w:val="both"/>
        <w:rPr>
          <w:rFonts w:cs="Arial"/>
        </w:rPr>
      </w:pPr>
    </w:p>
    <w:p w14:paraId="39012A49" w14:textId="77777777" w:rsidR="00E47EBD" w:rsidRPr="00B66EDA" w:rsidRDefault="00A724BF" w:rsidP="00B279C0">
      <w:pPr>
        <w:numPr>
          <w:ilvl w:val="0"/>
          <w:numId w:val="24"/>
        </w:numPr>
        <w:ind w:left="709" w:hanging="283"/>
        <w:jc w:val="both"/>
        <w:rPr>
          <w:rFonts w:cs="Arial"/>
        </w:rPr>
      </w:pPr>
      <w:r w:rsidRPr="00B66EDA">
        <w:rPr>
          <w:rFonts w:cs="Arial"/>
          <w:i/>
        </w:rPr>
        <w:t>if it was felt that there was a significant risk of a sharp FALL in borrowing rates,</w:t>
      </w:r>
      <w:r w:rsidRPr="00B66EDA">
        <w:rPr>
          <w:rFonts w:cs="Arial"/>
        </w:rPr>
        <w:t xml:space="preserve"> (e.g.</w:t>
      </w:r>
      <w:r w:rsidRPr="00B66EDA">
        <w:rPr>
          <w:rFonts w:cs="Arial"/>
          <w:i/>
        </w:rPr>
        <w:t xml:space="preserve"> </w:t>
      </w:r>
      <w:r w:rsidRPr="00B66EDA">
        <w:rPr>
          <w:rFonts w:cs="Arial"/>
        </w:rPr>
        <w:t>due to a marked increase of risks around relapse into recession or of risks of deflation), then borrowing would be postponed.</w:t>
      </w:r>
    </w:p>
    <w:p w14:paraId="7CC0102D" w14:textId="77777777" w:rsidR="00E47EBD" w:rsidRPr="00B66EDA" w:rsidRDefault="00E47EBD" w:rsidP="00E47EBD">
      <w:pPr>
        <w:ind w:left="720" w:hanging="360"/>
        <w:jc w:val="both"/>
        <w:rPr>
          <w:rFonts w:cs="Arial"/>
        </w:rPr>
      </w:pPr>
    </w:p>
    <w:p w14:paraId="6F39907F" w14:textId="77777777" w:rsidR="00E47EBD" w:rsidRPr="00B66EDA" w:rsidRDefault="00A724BF" w:rsidP="00B279C0">
      <w:pPr>
        <w:numPr>
          <w:ilvl w:val="0"/>
          <w:numId w:val="24"/>
        </w:numPr>
        <w:ind w:left="720" w:hanging="360"/>
        <w:jc w:val="both"/>
        <w:rPr>
          <w:rFonts w:cs="Arial"/>
        </w:rPr>
      </w:pPr>
      <w:r w:rsidRPr="00B66EDA">
        <w:rPr>
          <w:rFonts w:cs="Arial"/>
          <w:i/>
        </w:rPr>
        <w:t xml:space="preserve">if it was felt that there was a significant risk of a much sharper RISE in borrowing rates than that currently forecast, </w:t>
      </w:r>
      <w:r w:rsidRPr="00B66EDA">
        <w:rPr>
          <w:rFonts w:cs="Arial"/>
        </w:rPr>
        <w:t>perhaps arising from an acceleration in the rate of increase in central rates in the USA and UK, an increase in world economic activity, or a sudden increase in inflation risks, then the portfolio position will be re-appraised. Most likely, fixed rate funding will be drawn whilst interest rates are lower than they are projected to be in the next few years.</w:t>
      </w:r>
    </w:p>
    <w:p w14:paraId="0E69459C" w14:textId="77777777" w:rsidR="00E47EBD" w:rsidRPr="00B66EDA" w:rsidRDefault="00E47EBD" w:rsidP="00E47EBD">
      <w:pPr>
        <w:pStyle w:val="ListParagraph"/>
        <w:rPr>
          <w:rFonts w:cs="Arial"/>
          <w:sz w:val="20"/>
          <w:szCs w:val="20"/>
        </w:rPr>
      </w:pPr>
    </w:p>
    <w:p w14:paraId="77A033AE" w14:textId="77777777" w:rsidR="00E47EBD" w:rsidRPr="00B66EDA" w:rsidRDefault="00A724BF" w:rsidP="00E47EBD">
      <w:pPr>
        <w:numPr>
          <w:ilvl w:val="12"/>
          <w:numId w:val="0"/>
        </w:numPr>
        <w:spacing w:before="90"/>
        <w:ind w:left="300"/>
        <w:jc w:val="both"/>
        <w:rPr>
          <w:rFonts w:cs="Arial"/>
        </w:rPr>
      </w:pPr>
      <w:r w:rsidRPr="00B66EDA">
        <w:rPr>
          <w:rFonts w:cs="Arial"/>
        </w:rPr>
        <w:t xml:space="preserve">Any decisions will be reported to the appropriate </w:t>
      </w:r>
      <w:r w:rsidR="00C82B1C" w:rsidRPr="00B66EDA">
        <w:rPr>
          <w:rFonts w:cs="Arial"/>
        </w:rPr>
        <w:t>decision-making</w:t>
      </w:r>
      <w:r w:rsidRPr="00B66EDA">
        <w:rPr>
          <w:rFonts w:cs="Arial"/>
        </w:rPr>
        <w:t xml:space="preserve"> body</w:t>
      </w:r>
      <w:r w:rsidRPr="00B66EDA">
        <w:rPr>
          <w:rFonts w:cs="Arial"/>
          <w:b/>
          <w:i/>
        </w:rPr>
        <w:t xml:space="preserve"> </w:t>
      </w:r>
      <w:r w:rsidRPr="00B66EDA">
        <w:rPr>
          <w:rFonts w:cs="Arial"/>
        </w:rPr>
        <w:t>at the next available opportunity.</w:t>
      </w:r>
    </w:p>
    <w:p w14:paraId="57EB9B63" w14:textId="77777777" w:rsidR="00A22F3D" w:rsidRPr="00B66EDA" w:rsidRDefault="00A22F3D" w:rsidP="00A22F3D">
      <w:pPr>
        <w:spacing w:before="45" w:after="45"/>
        <w:jc w:val="both"/>
        <w:rPr>
          <w:rFonts w:cs="Arial"/>
          <w:i/>
          <w:color w:val="0000FF"/>
          <w:spacing w:val="0"/>
        </w:rPr>
      </w:pPr>
    </w:p>
    <w:p w14:paraId="04B50481" w14:textId="77777777" w:rsidR="00EB796A" w:rsidRPr="00B66EDA" w:rsidRDefault="00A724BF" w:rsidP="00CC7B2A">
      <w:pPr>
        <w:pStyle w:val="subhead"/>
        <w:ind w:left="357" w:hanging="357"/>
        <w:rPr>
          <w:noProof w:val="0"/>
          <w:sz w:val="20"/>
          <w:szCs w:val="20"/>
        </w:rPr>
      </w:pPr>
      <w:bookmarkStart w:id="125" w:name="_Toc56008276"/>
      <w:r w:rsidRPr="00B66EDA">
        <w:rPr>
          <w:noProof w:val="0"/>
          <w:sz w:val="20"/>
          <w:szCs w:val="20"/>
        </w:rPr>
        <w:t>Policy on borrowing in advance of need</w:t>
      </w:r>
      <w:bookmarkEnd w:id="125"/>
      <w:r w:rsidRPr="00B66EDA">
        <w:rPr>
          <w:noProof w:val="0"/>
          <w:sz w:val="20"/>
          <w:szCs w:val="20"/>
        </w:rPr>
        <w:t xml:space="preserve"> </w:t>
      </w:r>
    </w:p>
    <w:p w14:paraId="2F7A6CAE" w14:textId="77777777" w:rsidR="00EB796A" w:rsidRPr="00B66EDA" w:rsidRDefault="00A724BF" w:rsidP="000F4D6A">
      <w:pPr>
        <w:autoSpaceDE w:val="0"/>
        <w:autoSpaceDN w:val="0"/>
        <w:adjustRightInd w:val="0"/>
        <w:jc w:val="both"/>
        <w:rPr>
          <w:rFonts w:cs="Arial"/>
        </w:rPr>
      </w:pPr>
      <w:r w:rsidRPr="00B66EDA">
        <w:rPr>
          <w:rFonts w:cs="Arial"/>
        </w:rPr>
        <w:t xml:space="preserve">The Council will not borrow more than or in advance of its needs purely </w:t>
      </w:r>
      <w:proofErr w:type="gramStart"/>
      <w:r w:rsidRPr="00B66EDA">
        <w:rPr>
          <w:rFonts w:cs="Arial"/>
        </w:rPr>
        <w:t>in order to</w:t>
      </w:r>
      <w:proofErr w:type="gramEnd"/>
      <w:r w:rsidRPr="00B66EDA">
        <w:rPr>
          <w:rFonts w:cs="Arial"/>
        </w:rPr>
        <w:t xml:space="preserve"> profit from the investment of the extra sums borrowed. Any decision to borrow in advance will be within forward approved Capital Financing Requirement estimates and will be considered carefully to ensure that value for money can be demonstrated and that the Council can ensure the security of such funds. </w:t>
      </w:r>
    </w:p>
    <w:p w14:paraId="06A8224F" w14:textId="77777777" w:rsidR="00E47EBD" w:rsidRPr="00B66EDA" w:rsidRDefault="00E47EBD" w:rsidP="00BC2A71">
      <w:pPr>
        <w:pStyle w:val="BodyText"/>
        <w:spacing w:after="120"/>
        <w:jc w:val="both"/>
        <w:rPr>
          <w:rFonts w:ascii="Arial" w:hAnsi="Arial" w:cs="Arial"/>
          <w:bCs/>
          <w:color w:val="000000"/>
          <w:sz w:val="20"/>
          <w:szCs w:val="20"/>
          <w:lang w:val="en-GB"/>
        </w:rPr>
      </w:pPr>
    </w:p>
    <w:p w14:paraId="7B38F508" w14:textId="77777777" w:rsidR="00EB796A" w:rsidRPr="00B66EDA" w:rsidRDefault="00A724BF" w:rsidP="00BC2A71">
      <w:pPr>
        <w:pStyle w:val="BodyText"/>
        <w:spacing w:after="120"/>
        <w:jc w:val="both"/>
        <w:rPr>
          <w:rFonts w:ascii="Arial" w:hAnsi="Arial" w:cs="Arial"/>
          <w:color w:val="000000"/>
          <w:sz w:val="20"/>
          <w:szCs w:val="20"/>
          <w:lang w:val="en-GB"/>
        </w:rPr>
      </w:pPr>
      <w:r w:rsidRPr="00B66EDA">
        <w:rPr>
          <w:rFonts w:ascii="Arial" w:hAnsi="Arial" w:cs="Arial"/>
          <w:bCs/>
          <w:color w:val="000000"/>
          <w:sz w:val="20"/>
          <w:szCs w:val="20"/>
          <w:lang w:val="en-GB"/>
        </w:rPr>
        <w:t>Risks associated with any borrowing in advance activity will be subject to prior appraisal and subsequent reporting through the mid-year or annual reporting mechanism.</w:t>
      </w:r>
      <w:r w:rsidRPr="00B66EDA">
        <w:rPr>
          <w:rFonts w:ascii="Arial" w:hAnsi="Arial" w:cs="Arial"/>
          <w:color w:val="000000"/>
          <w:sz w:val="20"/>
          <w:szCs w:val="20"/>
          <w:lang w:val="en-GB"/>
        </w:rPr>
        <w:t xml:space="preserve"> </w:t>
      </w:r>
    </w:p>
    <w:p w14:paraId="531D26EC" w14:textId="77777777" w:rsidR="00207528" w:rsidRDefault="00207528" w:rsidP="00BC2A71">
      <w:pPr>
        <w:pStyle w:val="BodyText"/>
        <w:spacing w:after="120"/>
        <w:jc w:val="both"/>
        <w:rPr>
          <w:rFonts w:ascii="Arial" w:hAnsi="Arial" w:cs="Arial"/>
          <w:color w:val="000000"/>
          <w:sz w:val="20"/>
          <w:szCs w:val="20"/>
          <w:lang w:val="en-GB"/>
        </w:rPr>
      </w:pPr>
    </w:p>
    <w:p w14:paraId="206AFEAF" w14:textId="77777777" w:rsidR="00416DEC" w:rsidRDefault="00416DEC" w:rsidP="00BC2A71">
      <w:pPr>
        <w:pStyle w:val="BodyText"/>
        <w:spacing w:after="120"/>
        <w:jc w:val="both"/>
        <w:rPr>
          <w:rFonts w:ascii="Arial" w:hAnsi="Arial" w:cs="Arial"/>
          <w:color w:val="000000"/>
          <w:sz w:val="20"/>
          <w:szCs w:val="20"/>
          <w:lang w:val="en-GB"/>
        </w:rPr>
      </w:pPr>
    </w:p>
    <w:p w14:paraId="43B935F9" w14:textId="77777777" w:rsidR="00416DEC" w:rsidRPr="00B66EDA" w:rsidRDefault="00416DEC" w:rsidP="00BC2A71">
      <w:pPr>
        <w:pStyle w:val="BodyText"/>
        <w:spacing w:after="120"/>
        <w:jc w:val="both"/>
        <w:rPr>
          <w:rFonts w:ascii="Arial" w:hAnsi="Arial" w:cs="Arial"/>
          <w:color w:val="000000"/>
          <w:sz w:val="20"/>
          <w:szCs w:val="20"/>
          <w:lang w:val="en-GB"/>
        </w:rPr>
      </w:pPr>
    </w:p>
    <w:p w14:paraId="3358665A" w14:textId="77777777" w:rsidR="00EB796A" w:rsidRPr="00B66EDA" w:rsidRDefault="00A724BF" w:rsidP="000B1DC9">
      <w:pPr>
        <w:pStyle w:val="subhead"/>
        <w:ind w:left="357" w:hanging="357"/>
        <w:rPr>
          <w:noProof w:val="0"/>
          <w:sz w:val="20"/>
          <w:szCs w:val="20"/>
        </w:rPr>
      </w:pPr>
      <w:bookmarkStart w:id="126" w:name="_Toc56008277"/>
      <w:r w:rsidRPr="00B66EDA">
        <w:rPr>
          <w:noProof w:val="0"/>
          <w:sz w:val="20"/>
          <w:szCs w:val="20"/>
        </w:rPr>
        <w:lastRenderedPageBreak/>
        <w:t>Debt rescheduling</w:t>
      </w:r>
      <w:bookmarkEnd w:id="126"/>
    </w:p>
    <w:p w14:paraId="615B5CD1" w14:textId="77777777" w:rsidR="00EB796A" w:rsidRPr="00B66EDA" w:rsidRDefault="00A724BF" w:rsidP="00D978B6">
      <w:pPr>
        <w:jc w:val="both"/>
        <w:rPr>
          <w:rFonts w:cs="Arial"/>
          <w:bCs/>
          <w:color w:val="000000"/>
          <w:spacing w:val="0"/>
        </w:rPr>
      </w:pPr>
      <w:r w:rsidRPr="00B66EDA">
        <w:rPr>
          <w:rFonts w:cs="Arial"/>
          <w:bCs/>
          <w:color w:val="000000"/>
          <w:spacing w:val="0"/>
        </w:rPr>
        <w:t xml:space="preserve">Rescheduling of current borrowing in our debt portfolio is unlikely to occur as </w:t>
      </w:r>
      <w:r w:rsidR="00980708" w:rsidRPr="00980708">
        <w:rPr>
          <w:rFonts w:cs="Arial"/>
          <w:bCs/>
          <w:color w:val="000000"/>
          <w:spacing w:val="0"/>
        </w:rPr>
        <w:t>there is still a large difference between premature redemption rates and new borrowing rates</w:t>
      </w:r>
      <w:r w:rsidRPr="00B66EDA">
        <w:rPr>
          <w:rFonts w:cs="Arial"/>
          <w:bCs/>
          <w:color w:val="000000"/>
          <w:spacing w:val="0"/>
        </w:rPr>
        <w:t>.</w:t>
      </w:r>
    </w:p>
    <w:p w14:paraId="09049AC4" w14:textId="77777777" w:rsidR="00D978B6" w:rsidRPr="00B66EDA" w:rsidRDefault="00D978B6" w:rsidP="00292DF0">
      <w:pPr>
        <w:jc w:val="both"/>
        <w:rPr>
          <w:rFonts w:cs="Arial"/>
          <w:bCs/>
        </w:rPr>
      </w:pPr>
    </w:p>
    <w:p w14:paraId="10B206B5" w14:textId="77777777" w:rsidR="0001226A" w:rsidRPr="00B66EDA" w:rsidRDefault="00A724BF" w:rsidP="00B45BC8">
      <w:pPr>
        <w:jc w:val="both"/>
        <w:rPr>
          <w:rFonts w:cs="Arial"/>
          <w:bCs/>
          <w:color w:val="000000"/>
          <w:spacing w:val="0"/>
        </w:rPr>
      </w:pPr>
      <w:r w:rsidRPr="00B66EDA">
        <w:rPr>
          <w:rFonts w:cs="Arial"/>
        </w:rPr>
        <w:t xml:space="preserve">If rescheduling was done, it would be reported to the appropriate Committee at the earliest meeting </w:t>
      </w:r>
    </w:p>
    <w:p w14:paraId="18B7F565" w14:textId="77777777" w:rsidR="00092D38" w:rsidRPr="00B66EDA" w:rsidRDefault="00092D38" w:rsidP="006376EE">
      <w:pPr>
        <w:jc w:val="both"/>
        <w:rPr>
          <w:rFonts w:cs="Arial"/>
          <w:bCs/>
          <w:color w:val="000000"/>
          <w:spacing w:val="0"/>
        </w:rPr>
      </w:pPr>
    </w:p>
    <w:p w14:paraId="644DDA89" w14:textId="77777777" w:rsidR="00EB796A" w:rsidRPr="00B66EDA" w:rsidRDefault="00A724BF" w:rsidP="00371F72">
      <w:pPr>
        <w:pStyle w:val="Heading"/>
        <w:pageBreakBefore/>
        <w:ind w:left="357" w:hanging="357"/>
        <w:rPr>
          <w:rFonts w:ascii="Arial" w:hAnsi="Arial"/>
          <w:noProof w:val="0"/>
          <w:sz w:val="33"/>
          <w:szCs w:val="33"/>
        </w:rPr>
      </w:pPr>
      <w:bookmarkStart w:id="127" w:name="_Toc56008278"/>
      <w:r w:rsidRPr="00B66EDA">
        <w:rPr>
          <w:rFonts w:ascii="Arial" w:hAnsi="Arial"/>
          <w:noProof w:val="0"/>
          <w:sz w:val="33"/>
          <w:szCs w:val="33"/>
        </w:rPr>
        <w:lastRenderedPageBreak/>
        <w:t>ANNUAL INVESTMENT STRATEGY</w:t>
      </w:r>
      <w:bookmarkEnd w:id="127"/>
    </w:p>
    <w:p w14:paraId="19C5B87A" w14:textId="77777777" w:rsidR="00EB796A" w:rsidRPr="00B66EDA" w:rsidRDefault="00A724BF" w:rsidP="00024EAF">
      <w:pPr>
        <w:pStyle w:val="subhead"/>
        <w:ind w:left="357" w:hanging="357"/>
        <w:rPr>
          <w:noProof w:val="0"/>
          <w:sz w:val="20"/>
          <w:szCs w:val="20"/>
        </w:rPr>
      </w:pPr>
      <w:bookmarkStart w:id="128" w:name="_Toc56008279"/>
      <w:r w:rsidRPr="00B66EDA">
        <w:rPr>
          <w:noProof w:val="0"/>
          <w:sz w:val="20"/>
          <w:szCs w:val="20"/>
        </w:rPr>
        <w:t>Investment policy – management of risk</w:t>
      </w:r>
      <w:bookmarkEnd w:id="128"/>
    </w:p>
    <w:p w14:paraId="5142D9B7" w14:textId="77777777" w:rsidR="007A19B0" w:rsidRPr="00B66EDA" w:rsidRDefault="00A724BF" w:rsidP="007A19B0">
      <w:pPr>
        <w:jc w:val="both"/>
        <w:rPr>
          <w:rFonts w:cs="Arial"/>
          <w:i/>
          <w:color w:val="0000FF"/>
          <w:sz w:val="18"/>
          <w:szCs w:val="18"/>
        </w:rPr>
      </w:pPr>
      <w:r w:rsidRPr="00C82B1C">
        <w:rPr>
          <w:rFonts w:cs="Arial"/>
        </w:rPr>
        <w:t>The Department of Levelling Up, Housing and Communities (DLUHC</w:t>
      </w:r>
      <w:r w:rsidR="00044F2E">
        <w:rPr>
          <w:rFonts w:cs="Arial"/>
        </w:rPr>
        <w:t>)</w:t>
      </w:r>
      <w:r w:rsidRPr="00C82B1C">
        <w:rPr>
          <w:rFonts w:cs="Arial"/>
        </w:rPr>
        <w:t xml:space="preserve"> and CIPFA have extended the meaning of ‘investments’ to include both financial and non-financial investments.  This report deals solely with treasury (financial) investments, (as managed by the treasury management team).  Non-financial investments, essentially the purchase of income yielding assets, are covered in the Capital Strategy,</w:t>
      </w:r>
      <w:r w:rsidR="00B02E25" w:rsidRPr="00B66EDA">
        <w:rPr>
          <w:rFonts w:cs="Arial"/>
        </w:rPr>
        <w:t xml:space="preserve"> (Appendix</w:t>
      </w:r>
      <w:r>
        <w:rPr>
          <w:rFonts w:cs="Arial"/>
        </w:rPr>
        <w:t xml:space="preserve"> 10</w:t>
      </w:r>
      <w:r w:rsidR="00B02E25" w:rsidRPr="00B66EDA">
        <w:rPr>
          <w:rFonts w:cs="Arial"/>
        </w:rPr>
        <w:t>).</w:t>
      </w:r>
    </w:p>
    <w:p w14:paraId="0CA72091" w14:textId="77777777" w:rsidR="00224597" w:rsidRPr="00B66EDA" w:rsidRDefault="00A724BF" w:rsidP="007A19B0">
      <w:pPr>
        <w:jc w:val="both"/>
        <w:rPr>
          <w:rFonts w:cs="Arial"/>
          <w:i/>
          <w:color w:val="0000FF"/>
          <w:sz w:val="18"/>
          <w:szCs w:val="18"/>
        </w:rPr>
      </w:pPr>
      <w:r w:rsidRPr="00B66EDA">
        <w:rPr>
          <w:rFonts w:cs="Arial"/>
          <w:i/>
          <w:color w:val="0000FF"/>
          <w:sz w:val="18"/>
          <w:szCs w:val="18"/>
        </w:rPr>
        <w:t xml:space="preserve"> </w:t>
      </w:r>
    </w:p>
    <w:p w14:paraId="0299216A" w14:textId="77777777" w:rsidR="00053B73" w:rsidRPr="00B66EDA" w:rsidRDefault="00A724BF" w:rsidP="00053B73">
      <w:pPr>
        <w:jc w:val="both"/>
        <w:rPr>
          <w:rFonts w:cs="Arial"/>
        </w:rPr>
      </w:pPr>
      <w:r w:rsidRPr="00B66EDA">
        <w:rPr>
          <w:rFonts w:cs="Arial"/>
        </w:rPr>
        <w:t>The Council’s investment policy has regard to the following: -</w:t>
      </w:r>
    </w:p>
    <w:p w14:paraId="47A37E9A" w14:textId="77777777" w:rsidR="00C82B1C" w:rsidRPr="00C82B1C" w:rsidRDefault="00A724BF" w:rsidP="00C82B1C">
      <w:pPr>
        <w:numPr>
          <w:ilvl w:val="0"/>
          <w:numId w:val="18"/>
        </w:numPr>
        <w:jc w:val="both"/>
        <w:rPr>
          <w:rFonts w:cs="Arial"/>
          <w:spacing w:val="0"/>
          <w:lang w:eastAsia="en-GB"/>
        </w:rPr>
      </w:pPr>
      <w:r w:rsidRPr="00C82B1C">
        <w:rPr>
          <w:rFonts w:cs="Arial"/>
          <w:spacing w:val="0"/>
          <w:lang w:eastAsia="en-GB"/>
        </w:rPr>
        <w:t>DLUHC’s Guidance on Local Government Investments (“the Guidance”)</w:t>
      </w:r>
    </w:p>
    <w:p w14:paraId="663CC265" w14:textId="77777777" w:rsidR="00C82B1C" w:rsidRPr="00C82B1C" w:rsidRDefault="00A724BF" w:rsidP="00C82B1C">
      <w:pPr>
        <w:numPr>
          <w:ilvl w:val="0"/>
          <w:numId w:val="18"/>
        </w:numPr>
        <w:jc w:val="both"/>
        <w:rPr>
          <w:rFonts w:cs="Arial"/>
          <w:spacing w:val="0"/>
          <w:lang w:eastAsia="en-GB"/>
        </w:rPr>
      </w:pPr>
      <w:r w:rsidRPr="00C82B1C">
        <w:rPr>
          <w:rFonts w:cs="Arial"/>
          <w:spacing w:val="0"/>
          <w:lang w:eastAsia="en-GB"/>
        </w:rPr>
        <w:t xml:space="preserve">CIPFA Treasury Management in Public Services Code of Practice and Cross Sectoral Guidance Notes </w:t>
      </w:r>
      <w:r w:rsidR="00044F2E">
        <w:rPr>
          <w:rFonts w:cs="Arial"/>
          <w:spacing w:val="0"/>
          <w:lang w:eastAsia="en-GB"/>
        </w:rPr>
        <w:t>2021</w:t>
      </w:r>
      <w:r w:rsidRPr="00C82B1C">
        <w:rPr>
          <w:rFonts w:cs="Arial"/>
          <w:spacing w:val="0"/>
          <w:lang w:eastAsia="en-GB"/>
        </w:rPr>
        <w:t xml:space="preserve"> (“the Code”) </w:t>
      </w:r>
    </w:p>
    <w:p w14:paraId="43FA957A" w14:textId="77777777" w:rsidR="00C82B1C" w:rsidRPr="00C82B1C" w:rsidRDefault="00A724BF" w:rsidP="00C82B1C">
      <w:pPr>
        <w:numPr>
          <w:ilvl w:val="0"/>
          <w:numId w:val="18"/>
        </w:numPr>
        <w:jc w:val="both"/>
        <w:rPr>
          <w:rFonts w:cs="Arial"/>
          <w:spacing w:val="0"/>
          <w:lang w:eastAsia="en-GB"/>
        </w:rPr>
      </w:pPr>
      <w:r w:rsidRPr="00C82B1C">
        <w:rPr>
          <w:rFonts w:cs="Arial"/>
          <w:spacing w:val="0"/>
          <w:lang w:eastAsia="en-GB"/>
        </w:rPr>
        <w:t xml:space="preserve">CIPFA Treasury Management Guidance Notes </w:t>
      </w:r>
      <w:r w:rsidR="00044F2E">
        <w:rPr>
          <w:rFonts w:cs="Arial"/>
          <w:spacing w:val="0"/>
          <w:lang w:eastAsia="en-GB"/>
        </w:rPr>
        <w:t>2021</w:t>
      </w:r>
      <w:r w:rsidRPr="00C82B1C">
        <w:rPr>
          <w:rFonts w:cs="Arial"/>
          <w:spacing w:val="0"/>
          <w:lang w:eastAsia="en-GB"/>
        </w:rPr>
        <w:t xml:space="preserve">  </w:t>
      </w:r>
    </w:p>
    <w:p w14:paraId="7F453BAA" w14:textId="77777777" w:rsidR="00CE54A1" w:rsidRPr="00B66EDA" w:rsidRDefault="00CE54A1" w:rsidP="00053B73">
      <w:pPr>
        <w:jc w:val="both"/>
        <w:rPr>
          <w:rFonts w:cs="Arial"/>
        </w:rPr>
      </w:pPr>
    </w:p>
    <w:p w14:paraId="1E0EDA80" w14:textId="77777777" w:rsidR="00E80458" w:rsidRDefault="00A724BF" w:rsidP="00053B73">
      <w:pPr>
        <w:jc w:val="both"/>
        <w:rPr>
          <w:rFonts w:cs="Arial"/>
          <w:color w:val="0D0D0D" w:themeColor="text1" w:themeTint="F2"/>
        </w:rPr>
      </w:pPr>
      <w:r w:rsidRPr="00B66EDA">
        <w:rPr>
          <w:rFonts w:cs="Arial"/>
        </w:rPr>
        <w:t xml:space="preserve">The Council’s investment priorities will be security first, portfolio liquidity second and then </w:t>
      </w:r>
      <w:r w:rsidRPr="00B66EDA">
        <w:rPr>
          <w:rFonts w:cs="Arial"/>
          <w:color w:val="0D0D0D" w:themeColor="text1" w:themeTint="F2"/>
        </w:rPr>
        <w:t xml:space="preserve">yield, (return). </w:t>
      </w:r>
      <w:r w:rsidRPr="00B66EDA">
        <w:rPr>
          <w:rFonts w:cs="Arial"/>
          <w:color w:val="0D0D0D" w:themeColor="text1" w:themeTint="F2"/>
        </w:rPr>
        <w:tab/>
        <w:t xml:space="preserve">The Council will aim to achieve the optimum return (yield) on its investments commensurate with proper levels of security and liquidity and with the Council’s risk appetite. </w:t>
      </w:r>
      <w:r w:rsidR="0087774E" w:rsidRPr="0087774E">
        <w:rPr>
          <w:rFonts w:cs="Arial"/>
          <w:color w:val="0D0D0D" w:themeColor="text1" w:themeTint="F2"/>
        </w:rPr>
        <w:t>In the current economic climate, it is considered appropriate to maintain a degree of liquidity to cover cash flow needs but to also consider “laddering” investments for periods up to 12 months with high credit rated financial institutions, whilst investment rates remain elevated, as well as wider range fund options</w:t>
      </w:r>
      <w:r w:rsidR="0087774E">
        <w:rPr>
          <w:rFonts w:cs="Arial"/>
          <w:color w:val="0D0D0D" w:themeColor="text1" w:themeTint="F2"/>
        </w:rPr>
        <w:t>.</w:t>
      </w:r>
    </w:p>
    <w:p w14:paraId="3AE13026" w14:textId="77777777" w:rsidR="0087774E" w:rsidRPr="00B66EDA" w:rsidRDefault="0087774E" w:rsidP="00053B73">
      <w:pPr>
        <w:jc w:val="both"/>
        <w:rPr>
          <w:rFonts w:cs="Arial"/>
        </w:rPr>
      </w:pPr>
    </w:p>
    <w:p w14:paraId="6C00FEDD" w14:textId="77777777" w:rsidR="00053B73" w:rsidRPr="00B66EDA" w:rsidRDefault="00A724BF" w:rsidP="00053B73">
      <w:pPr>
        <w:jc w:val="both"/>
        <w:rPr>
          <w:rFonts w:cs="Arial"/>
        </w:rPr>
      </w:pPr>
      <w:r w:rsidRPr="00B66EDA">
        <w:rPr>
          <w:rFonts w:cs="Arial"/>
        </w:rPr>
        <w:t xml:space="preserve">The above guidance from the </w:t>
      </w:r>
      <w:r w:rsidR="00C82B1C">
        <w:rPr>
          <w:rFonts w:cs="Arial"/>
        </w:rPr>
        <w:t>DLUHC</w:t>
      </w:r>
      <w:r w:rsidRPr="00B66EDA">
        <w:rPr>
          <w:rFonts w:cs="Arial"/>
        </w:rPr>
        <w:t xml:space="preserve"> and CIPFA places a high priority on the management of risk. This authority has adopted a prudent approach to managing risk and defines its risk appetite by the following means: -</w:t>
      </w:r>
    </w:p>
    <w:p w14:paraId="7D3E550D" w14:textId="77777777" w:rsidR="00053B73" w:rsidRPr="00B66EDA" w:rsidRDefault="00053B73" w:rsidP="00053B73">
      <w:pPr>
        <w:jc w:val="both"/>
        <w:rPr>
          <w:rFonts w:cs="Arial"/>
        </w:rPr>
      </w:pPr>
    </w:p>
    <w:p w14:paraId="5B51BBCC" w14:textId="77777777" w:rsidR="00053B73" w:rsidRPr="00B66EDA" w:rsidRDefault="00A724BF" w:rsidP="00CF69B5">
      <w:pPr>
        <w:pStyle w:val="ListParagraph"/>
        <w:numPr>
          <w:ilvl w:val="0"/>
          <w:numId w:val="16"/>
        </w:numPr>
        <w:ind w:left="709" w:hanging="283"/>
        <w:jc w:val="both"/>
        <w:rPr>
          <w:rFonts w:ascii="Arial" w:hAnsi="Arial" w:cs="Arial"/>
          <w:sz w:val="20"/>
          <w:szCs w:val="20"/>
        </w:rPr>
      </w:pPr>
      <w:r w:rsidRPr="00B66EDA">
        <w:rPr>
          <w:rFonts w:ascii="Arial" w:hAnsi="Arial" w:cs="Arial"/>
          <w:sz w:val="20"/>
          <w:szCs w:val="20"/>
        </w:rPr>
        <w:t xml:space="preserve">Minimum acceptable </w:t>
      </w:r>
      <w:r w:rsidRPr="00B66EDA">
        <w:rPr>
          <w:rFonts w:ascii="Arial" w:hAnsi="Arial" w:cs="Arial"/>
          <w:b/>
          <w:sz w:val="20"/>
          <w:szCs w:val="20"/>
        </w:rPr>
        <w:t>credit criteria</w:t>
      </w:r>
      <w:r w:rsidRPr="00B66EDA">
        <w:rPr>
          <w:rFonts w:ascii="Arial" w:hAnsi="Arial" w:cs="Arial"/>
          <w:sz w:val="20"/>
          <w:szCs w:val="20"/>
        </w:rPr>
        <w:t xml:space="preserve"> are applied </w:t>
      </w:r>
      <w:proofErr w:type="gramStart"/>
      <w:r w:rsidRPr="00B66EDA">
        <w:rPr>
          <w:rFonts w:ascii="Arial" w:hAnsi="Arial" w:cs="Arial"/>
          <w:sz w:val="20"/>
          <w:szCs w:val="20"/>
        </w:rPr>
        <w:t>in order to</w:t>
      </w:r>
      <w:proofErr w:type="gramEnd"/>
      <w:r w:rsidRPr="00B66EDA">
        <w:rPr>
          <w:rFonts w:ascii="Arial" w:hAnsi="Arial" w:cs="Arial"/>
          <w:sz w:val="20"/>
          <w:szCs w:val="20"/>
        </w:rPr>
        <w:t xml:space="preserve"> generate a list of highly creditworthy counterparties.  This also enables diversification and thus avoidance of concentration risk. The key ratings used to monitor counterparties are the short term and long-term ratings.  </w:t>
      </w:r>
      <w:r w:rsidR="00C82B1C">
        <w:rPr>
          <w:rFonts w:ascii="Arial" w:hAnsi="Arial" w:cs="Arial"/>
          <w:sz w:val="20"/>
          <w:szCs w:val="20"/>
        </w:rPr>
        <w:tab/>
      </w:r>
    </w:p>
    <w:p w14:paraId="699E667C" w14:textId="77777777" w:rsidR="00053B73" w:rsidRPr="00B66EDA" w:rsidRDefault="00053B73" w:rsidP="00BD43B2">
      <w:pPr>
        <w:pStyle w:val="ListParagraph"/>
        <w:ind w:left="709" w:hanging="283"/>
        <w:jc w:val="both"/>
        <w:rPr>
          <w:rFonts w:ascii="Arial" w:hAnsi="Arial" w:cs="Arial"/>
          <w:sz w:val="20"/>
          <w:szCs w:val="20"/>
        </w:rPr>
      </w:pPr>
    </w:p>
    <w:p w14:paraId="7CCE9A08" w14:textId="77777777" w:rsidR="00053B73" w:rsidRPr="00B66EDA" w:rsidRDefault="00A724BF" w:rsidP="00CF69B5">
      <w:pPr>
        <w:pStyle w:val="ListParagraph"/>
        <w:numPr>
          <w:ilvl w:val="0"/>
          <w:numId w:val="16"/>
        </w:numPr>
        <w:ind w:left="709" w:hanging="283"/>
        <w:jc w:val="both"/>
        <w:rPr>
          <w:rFonts w:ascii="Arial" w:hAnsi="Arial" w:cs="Arial"/>
          <w:sz w:val="20"/>
          <w:szCs w:val="20"/>
        </w:rPr>
      </w:pPr>
      <w:r w:rsidRPr="00B66EDA">
        <w:rPr>
          <w:rFonts w:ascii="Arial" w:hAnsi="Arial" w:cs="Arial"/>
          <w:b/>
          <w:sz w:val="20"/>
          <w:szCs w:val="20"/>
        </w:rPr>
        <w:t>Other information:</w:t>
      </w:r>
      <w:r w:rsidRPr="00B66EDA">
        <w:rPr>
          <w:rFonts w:ascii="Arial" w:hAnsi="Arial" w:cs="Arial"/>
          <w:sz w:val="20"/>
          <w:szCs w:val="20"/>
        </w:rPr>
        <w:t xml:space="preserve"> ratings will not be the sole determinant of the quality of an institution; it is important to continually assess and monitor the financial sector on both a micro and macro basis and in relation to the economic and political environments in which institutions operate. The assessment will also take account of information that reflects the opinion of the markets. To achieve this consideration the Council will engage with its advisors to maintain a monitor on market pricing such as </w:t>
      </w:r>
      <w:r w:rsidRPr="00B66EDA">
        <w:rPr>
          <w:rFonts w:ascii="Arial" w:hAnsi="Arial" w:cs="Arial"/>
          <w:b/>
          <w:sz w:val="20"/>
          <w:szCs w:val="20"/>
        </w:rPr>
        <w:t>“credit default swaps”</w:t>
      </w:r>
      <w:r w:rsidRPr="00B66EDA">
        <w:rPr>
          <w:rFonts w:ascii="Arial" w:hAnsi="Arial" w:cs="Arial"/>
          <w:sz w:val="20"/>
          <w:szCs w:val="20"/>
        </w:rPr>
        <w:t xml:space="preserve"> and overlay that information on top of the credit ratings. </w:t>
      </w:r>
    </w:p>
    <w:p w14:paraId="1CF80FD5" w14:textId="77777777" w:rsidR="00053B73" w:rsidRPr="00B66EDA" w:rsidRDefault="00053B73" w:rsidP="00BD43B2">
      <w:pPr>
        <w:pStyle w:val="ListParagraph"/>
        <w:ind w:left="709" w:hanging="283"/>
        <w:rPr>
          <w:rFonts w:ascii="Arial" w:hAnsi="Arial" w:cs="Arial"/>
          <w:sz w:val="20"/>
          <w:szCs w:val="20"/>
        </w:rPr>
      </w:pPr>
    </w:p>
    <w:p w14:paraId="738419A5" w14:textId="77777777" w:rsidR="00053B73" w:rsidRPr="00B66EDA" w:rsidRDefault="00A724BF" w:rsidP="00CF69B5">
      <w:pPr>
        <w:pStyle w:val="ListParagraph"/>
        <w:numPr>
          <w:ilvl w:val="0"/>
          <w:numId w:val="16"/>
        </w:numPr>
        <w:ind w:left="709" w:hanging="283"/>
        <w:jc w:val="both"/>
        <w:rPr>
          <w:rFonts w:ascii="Arial" w:hAnsi="Arial" w:cs="Arial"/>
          <w:sz w:val="20"/>
          <w:szCs w:val="20"/>
        </w:rPr>
      </w:pPr>
      <w:r w:rsidRPr="00B66EDA">
        <w:rPr>
          <w:rFonts w:ascii="Arial" w:hAnsi="Arial" w:cs="Arial"/>
          <w:b/>
          <w:sz w:val="20"/>
          <w:szCs w:val="20"/>
        </w:rPr>
        <w:t>Other information sources</w:t>
      </w:r>
      <w:r w:rsidRPr="00B66EDA">
        <w:rPr>
          <w:rFonts w:ascii="Arial" w:hAnsi="Arial" w:cs="Arial"/>
          <w:sz w:val="20"/>
          <w:szCs w:val="20"/>
        </w:rPr>
        <w:t xml:space="preserve"> used will include the financial press, share price and other such information pertaining to the financial sector </w:t>
      </w:r>
      <w:proofErr w:type="gramStart"/>
      <w:r w:rsidRPr="00B66EDA">
        <w:rPr>
          <w:rFonts w:ascii="Arial" w:hAnsi="Arial" w:cs="Arial"/>
          <w:sz w:val="20"/>
          <w:szCs w:val="20"/>
        </w:rPr>
        <w:t>in order to</w:t>
      </w:r>
      <w:proofErr w:type="gramEnd"/>
      <w:r w:rsidRPr="00B66EDA">
        <w:rPr>
          <w:rFonts w:ascii="Arial" w:hAnsi="Arial" w:cs="Arial"/>
          <w:sz w:val="20"/>
          <w:szCs w:val="20"/>
        </w:rPr>
        <w:t xml:space="preserve"> establish the most robust scrutiny process on the suitability of potential investment counterparties.</w:t>
      </w:r>
    </w:p>
    <w:p w14:paraId="2DD8C2C8" w14:textId="77777777" w:rsidR="00053B73" w:rsidRPr="00B66EDA" w:rsidRDefault="00053B73" w:rsidP="00BD43B2">
      <w:pPr>
        <w:pStyle w:val="ListParagraph"/>
        <w:ind w:left="709" w:hanging="283"/>
        <w:rPr>
          <w:rFonts w:ascii="Arial" w:hAnsi="Arial" w:cs="Arial"/>
          <w:sz w:val="20"/>
          <w:szCs w:val="20"/>
        </w:rPr>
      </w:pPr>
    </w:p>
    <w:p w14:paraId="6FB54599" w14:textId="77777777" w:rsidR="00053B73" w:rsidRPr="00B66EDA" w:rsidRDefault="00A724BF" w:rsidP="00CF69B5">
      <w:pPr>
        <w:pStyle w:val="ListParagraph"/>
        <w:numPr>
          <w:ilvl w:val="0"/>
          <w:numId w:val="16"/>
        </w:numPr>
        <w:ind w:left="709" w:hanging="283"/>
        <w:jc w:val="both"/>
        <w:rPr>
          <w:rFonts w:ascii="Arial" w:hAnsi="Arial" w:cs="Arial"/>
          <w:color w:val="0D0D0D" w:themeColor="text1" w:themeTint="F2"/>
          <w:sz w:val="20"/>
          <w:szCs w:val="20"/>
        </w:rPr>
      </w:pPr>
      <w:r w:rsidRPr="00B66EDA">
        <w:rPr>
          <w:rFonts w:ascii="Arial" w:hAnsi="Arial" w:cs="Arial"/>
          <w:sz w:val="20"/>
          <w:szCs w:val="20"/>
        </w:rPr>
        <w:t xml:space="preserve">This authority has defined the list of </w:t>
      </w:r>
      <w:r w:rsidRPr="00B66EDA">
        <w:rPr>
          <w:rFonts w:ascii="Arial" w:hAnsi="Arial" w:cs="Arial"/>
          <w:b/>
          <w:sz w:val="20"/>
          <w:szCs w:val="20"/>
        </w:rPr>
        <w:t>types of investment instruments</w:t>
      </w:r>
      <w:r w:rsidRPr="00B66EDA">
        <w:rPr>
          <w:rFonts w:ascii="Arial" w:hAnsi="Arial" w:cs="Arial"/>
          <w:sz w:val="20"/>
          <w:szCs w:val="20"/>
        </w:rPr>
        <w:t xml:space="preserve"> that the treasury management team are authorised to use. There are two lists in </w:t>
      </w:r>
      <w:r w:rsidRPr="00B66EDA">
        <w:rPr>
          <w:rFonts w:ascii="Arial" w:hAnsi="Arial" w:cs="Arial"/>
          <w:color w:val="0D0D0D"/>
          <w:sz w:val="20"/>
          <w:szCs w:val="20"/>
        </w:rPr>
        <w:t>appendix 5.4</w:t>
      </w:r>
      <w:r w:rsidRPr="00B66EDA">
        <w:rPr>
          <w:rFonts w:ascii="Arial" w:hAnsi="Arial" w:cs="Arial"/>
          <w:color w:val="0000FF"/>
          <w:sz w:val="20"/>
          <w:szCs w:val="20"/>
        </w:rPr>
        <w:t xml:space="preserve"> </w:t>
      </w:r>
      <w:r w:rsidRPr="00B66EDA">
        <w:rPr>
          <w:rFonts w:ascii="Arial" w:hAnsi="Arial" w:cs="Arial"/>
          <w:sz w:val="20"/>
          <w:szCs w:val="20"/>
        </w:rPr>
        <w:t xml:space="preserve">under the categories of ‘specified’ and ‘non-specified’ investments. </w:t>
      </w:r>
    </w:p>
    <w:p w14:paraId="183C01B6" w14:textId="77777777" w:rsidR="00053B73" w:rsidRPr="00B66EDA" w:rsidRDefault="00053B73" w:rsidP="00053B73">
      <w:pPr>
        <w:pStyle w:val="ListParagraph"/>
        <w:rPr>
          <w:rFonts w:ascii="Arial" w:hAnsi="Arial" w:cs="Arial"/>
          <w:color w:val="0D0D0D" w:themeColor="text1" w:themeTint="F2"/>
          <w:sz w:val="20"/>
          <w:szCs w:val="20"/>
        </w:rPr>
      </w:pPr>
    </w:p>
    <w:p w14:paraId="511A51CC" w14:textId="77777777" w:rsidR="00053B73" w:rsidRPr="00B66EDA" w:rsidRDefault="00A724BF" w:rsidP="00CF69B5">
      <w:pPr>
        <w:pStyle w:val="ListParagraph"/>
        <w:numPr>
          <w:ilvl w:val="1"/>
          <w:numId w:val="17"/>
        </w:numPr>
        <w:jc w:val="both"/>
        <w:rPr>
          <w:rFonts w:ascii="Arial" w:hAnsi="Arial" w:cs="Arial"/>
          <w:color w:val="0D0D0D" w:themeColor="text1" w:themeTint="F2"/>
          <w:sz w:val="20"/>
          <w:szCs w:val="20"/>
        </w:rPr>
      </w:pPr>
      <w:r w:rsidRPr="00B66EDA">
        <w:rPr>
          <w:rFonts w:ascii="Arial" w:hAnsi="Arial" w:cs="Arial"/>
          <w:b/>
          <w:color w:val="0D0D0D" w:themeColor="text1" w:themeTint="F2"/>
          <w:sz w:val="20"/>
          <w:szCs w:val="20"/>
        </w:rPr>
        <w:t>Specified investments</w:t>
      </w:r>
      <w:r w:rsidRPr="00B66EDA">
        <w:rPr>
          <w:rFonts w:ascii="Arial" w:hAnsi="Arial" w:cs="Arial"/>
          <w:color w:val="0D0D0D" w:themeColor="text1" w:themeTint="F2"/>
          <w:sz w:val="20"/>
          <w:szCs w:val="20"/>
        </w:rPr>
        <w:t xml:space="preserve"> are those with a high level of credit quality and subject to a maturity limit of one year or have less than a year left to run to maturity if originally they were originally classified as being non-specified investments solely due to the maturity period </w:t>
      </w:r>
      <w:proofErr w:type="gramStart"/>
      <w:r w:rsidRPr="00B66EDA">
        <w:rPr>
          <w:rFonts w:ascii="Arial" w:hAnsi="Arial" w:cs="Arial"/>
          <w:color w:val="0D0D0D" w:themeColor="text1" w:themeTint="F2"/>
          <w:sz w:val="20"/>
          <w:szCs w:val="20"/>
        </w:rPr>
        <w:t>exceeding  one</w:t>
      </w:r>
      <w:proofErr w:type="gramEnd"/>
      <w:r w:rsidRPr="00B66EDA">
        <w:rPr>
          <w:rFonts w:ascii="Arial" w:hAnsi="Arial" w:cs="Arial"/>
          <w:color w:val="0D0D0D" w:themeColor="text1" w:themeTint="F2"/>
          <w:sz w:val="20"/>
          <w:szCs w:val="20"/>
        </w:rPr>
        <w:t xml:space="preserve"> year. </w:t>
      </w:r>
    </w:p>
    <w:p w14:paraId="79C0DF2A" w14:textId="77777777" w:rsidR="00987D38" w:rsidRPr="00C82B1C" w:rsidRDefault="00A724BF" w:rsidP="00C82B1C">
      <w:pPr>
        <w:pStyle w:val="ListParagraph"/>
        <w:numPr>
          <w:ilvl w:val="1"/>
          <w:numId w:val="17"/>
        </w:numPr>
        <w:jc w:val="both"/>
        <w:rPr>
          <w:rFonts w:ascii="Arial" w:hAnsi="Arial" w:cs="Arial"/>
          <w:b/>
          <w:color w:val="0D0D0D" w:themeColor="text1" w:themeTint="F2"/>
          <w:sz w:val="20"/>
          <w:szCs w:val="20"/>
        </w:rPr>
      </w:pPr>
      <w:r w:rsidRPr="00B66EDA">
        <w:rPr>
          <w:rFonts w:ascii="Arial" w:hAnsi="Arial" w:cs="Arial"/>
          <w:b/>
          <w:color w:val="0D0D0D" w:themeColor="text1" w:themeTint="F2"/>
          <w:sz w:val="20"/>
          <w:szCs w:val="20"/>
        </w:rPr>
        <w:t>Non-specified investments</w:t>
      </w:r>
      <w:r w:rsidRPr="00C82B1C">
        <w:rPr>
          <w:rFonts w:ascii="Arial" w:hAnsi="Arial" w:cs="Arial"/>
          <w:bCs/>
          <w:color w:val="0D0D0D" w:themeColor="text1" w:themeTint="F2"/>
          <w:sz w:val="20"/>
          <w:szCs w:val="20"/>
        </w:rPr>
        <w:t xml:space="preserve"> are those with less high credit quality, may be for periods </w:t>
      </w:r>
      <w:proofErr w:type="gramStart"/>
      <w:r w:rsidRPr="00C82B1C">
        <w:rPr>
          <w:rFonts w:ascii="Arial" w:hAnsi="Arial" w:cs="Arial"/>
          <w:bCs/>
          <w:color w:val="0D0D0D" w:themeColor="text1" w:themeTint="F2"/>
          <w:sz w:val="20"/>
          <w:szCs w:val="20"/>
        </w:rPr>
        <w:t>in excess of</w:t>
      </w:r>
      <w:proofErr w:type="gramEnd"/>
      <w:r w:rsidRPr="00C82B1C">
        <w:rPr>
          <w:rFonts w:ascii="Arial" w:hAnsi="Arial" w:cs="Arial"/>
          <w:bCs/>
          <w:color w:val="0D0D0D" w:themeColor="text1" w:themeTint="F2"/>
          <w:sz w:val="20"/>
          <w:szCs w:val="20"/>
        </w:rPr>
        <w:t xml:space="preserve"> one year, and/or are more complex instruments which require greater consideration by members and officers before being authorised for use. </w:t>
      </w:r>
    </w:p>
    <w:p w14:paraId="773E4936" w14:textId="77777777" w:rsidR="00053B73" w:rsidRPr="00C82B1C" w:rsidRDefault="00053B73" w:rsidP="00C82B1C">
      <w:pPr>
        <w:ind w:left="1080"/>
        <w:jc w:val="both"/>
        <w:rPr>
          <w:rFonts w:cs="Arial"/>
          <w:b/>
          <w:color w:val="0D0D0D" w:themeColor="text1" w:themeTint="F2"/>
        </w:rPr>
      </w:pPr>
    </w:p>
    <w:p w14:paraId="2B8B9FAB" w14:textId="77777777" w:rsidR="00224597" w:rsidRPr="00B66EDA" w:rsidRDefault="00A724BF" w:rsidP="00CF69B5">
      <w:pPr>
        <w:pStyle w:val="ListParagraph"/>
        <w:numPr>
          <w:ilvl w:val="0"/>
          <w:numId w:val="16"/>
        </w:numPr>
        <w:jc w:val="both"/>
        <w:rPr>
          <w:rFonts w:cs="Arial"/>
          <w:i/>
          <w:color w:val="0D0D0D" w:themeColor="text1" w:themeTint="F2"/>
          <w:sz w:val="20"/>
          <w:szCs w:val="20"/>
        </w:rPr>
      </w:pPr>
      <w:r w:rsidRPr="00B66EDA">
        <w:rPr>
          <w:rFonts w:ascii="Arial" w:hAnsi="Arial" w:cs="Arial"/>
          <w:b/>
          <w:color w:val="0D0D0D" w:themeColor="text1" w:themeTint="F2"/>
          <w:sz w:val="20"/>
          <w:szCs w:val="20"/>
        </w:rPr>
        <w:lastRenderedPageBreak/>
        <w:t>Non-specified and loan investment limits.</w:t>
      </w:r>
      <w:r w:rsidRPr="00B66EDA">
        <w:rPr>
          <w:rFonts w:ascii="Arial" w:hAnsi="Arial" w:cs="Arial"/>
          <w:color w:val="0D0D0D" w:themeColor="text1" w:themeTint="F2"/>
          <w:sz w:val="20"/>
          <w:szCs w:val="20"/>
        </w:rPr>
        <w:t xml:space="preserve"> The Council has determined that it will set a limit to the maximum exposure of the total treasury management investment portfolio to non-specified treasury management investments of 50%</w:t>
      </w:r>
    </w:p>
    <w:p w14:paraId="26793120" w14:textId="77777777" w:rsidR="00E80A64" w:rsidRPr="00B66EDA" w:rsidRDefault="00E80A64" w:rsidP="00224597">
      <w:pPr>
        <w:pStyle w:val="ListParagraph"/>
        <w:ind w:left="344"/>
        <w:jc w:val="both"/>
        <w:rPr>
          <w:rFonts w:ascii="Arial" w:hAnsi="Arial" w:cs="Arial"/>
          <w:sz w:val="20"/>
          <w:szCs w:val="20"/>
        </w:rPr>
      </w:pPr>
    </w:p>
    <w:p w14:paraId="125E4F7A" w14:textId="77777777" w:rsidR="00053B73" w:rsidRPr="00380DE4" w:rsidRDefault="00A724BF" w:rsidP="00CF69B5">
      <w:pPr>
        <w:pStyle w:val="ListParagraph"/>
        <w:numPr>
          <w:ilvl w:val="0"/>
          <w:numId w:val="16"/>
        </w:numPr>
        <w:jc w:val="both"/>
        <w:rPr>
          <w:rFonts w:ascii="Arial" w:hAnsi="Arial" w:cs="Arial"/>
          <w:color w:val="0D0D0D" w:themeColor="text1" w:themeTint="F2"/>
          <w:sz w:val="20"/>
          <w:szCs w:val="20"/>
        </w:rPr>
      </w:pPr>
      <w:r w:rsidRPr="00380DE4">
        <w:rPr>
          <w:rFonts w:ascii="Arial" w:hAnsi="Arial" w:cs="Arial"/>
          <w:b/>
          <w:color w:val="0D0D0D" w:themeColor="text1" w:themeTint="F2"/>
          <w:sz w:val="20"/>
          <w:szCs w:val="20"/>
        </w:rPr>
        <w:t>Lending limits</w:t>
      </w:r>
      <w:r w:rsidRPr="00380DE4">
        <w:rPr>
          <w:rFonts w:ascii="Arial" w:hAnsi="Arial" w:cs="Arial"/>
          <w:color w:val="0D0D0D" w:themeColor="text1" w:themeTint="F2"/>
          <w:sz w:val="20"/>
          <w:szCs w:val="20"/>
        </w:rPr>
        <w:t>, (amounts and maturity), for each counterparty will be set through applying the matrix table in paragraph 4.2.</w:t>
      </w:r>
    </w:p>
    <w:p w14:paraId="471BAD4C" w14:textId="77777777" w:rsidR="00053B73" w:rsidRPr="00380DE4" w:rsidRDefault="00053B73" w:rsidP="00224597">
      <w:pPr>
        <w:pStyle w:val="ListParagraph"/>
        <w:ind w:left="344"/>
        <w:jc w:val="both"/>
        <w:rPr>
          <w:rFonts w:ascii="Arial" w:hAnsi="Arial" w:cs="Arial"/>
          <w:sz w:val="20"/>
          <w:szCs w:val="20"/>
        </w:rPr>
      </w:pPr>
    </w:p>
    <w:p w14:paraId="0BD41C5F" w14:textId="77777777" w:rsidR="00053B73" w:rsidRPr="00380DE4" w:rsidRDefault="00A724BF" w:rsidP="00CF69B5">
      <w:pPr>
        <w:pStyle w:val="ListParagraph"/>
        <w:numPr>
          <w:ilvl w:val="0"/>
          <w:numId w:val="16"/>
        </w:numPr>
        <w:jc w:val="both"/>
        <w:rPr>
          <w:rFonts w:ascii="Arial" w:hAnsi="Arial" w:cs="Arial"/>
          <w:sz w:val="20"/>
          <w:szCs w:val="20"/>
        </w:rPr>
      </w:pPr>
      <w:r w:rsidRPr="00380DE4">
        <w:rPr>
          <w:rFonts w:ascii="Arial" w:hAnsi="Arial" w:cs="Arial"/>
          <w:b/>
          <w:sz w:val="20"/>
          <w:szCs w:val="20"/>
        </w:rPr>
        <w:t>Transaction limits</w:t>
      </w:r>
      <w:r w:rsidRPr="00380DE4">
        <w:rPr>
          <w:rFonts w:ascii="Arial" w:hAnsi="Arial" w:cs="Arial"/>
          <w:sz w:val="20"/>
          <w:szCs w:val="20"/>
        </w:rPr>
        <w:t xml:space="preserve"> are set for each type of investment in 4.2.</w:t>
      </w:r>
    </w:p>
    <w:p w14:paraId="6351213B" w14:textId="77777777" w:rsidR="00053B73" w:rsidRPr="00380DE4" w:rsidRDefault="00053B73" w:rsidP="00224597">
      <w:pPr>
        <w:pStyle w:val="ListParagraph"/>
        <w:ind w:left="284"/>
        <w:jc w:val="both"/>
        <w:rPr>
          <w:rFonts w:ascii="Arial" w:hAnsi="Arial" w:cs="Arial"/>
          <w:sz w:val="20"/>
          <w:szCs w:val="20"/>
        </w:rPr>
      </w:pPr>
    </w:p>
    <w:p w14:paraId="3A74C188" w14:textId="77777777" w:rsidR="00053B73" w:rsidRPr="00380DE4" w:rsidRDefault="00A724BF" w:rsidP="00CF69B5">
      <w:pPr>
        <w:pStyle w:val="ListParagraph"/>
        <w:numPr>
          <w:ilvl w:val="0"/>
          <w:numId w:val="16"/>
        </w:numPr>
        <w:jc w:val="both"/>
        <w:rPr>
          <w:rFonts w:ascii="Arial" w:hAnsi="Arial" w:cs="Arial"/>
          <w:sz w:val="20"/>
          <w:szCs w:val="20"/>
        </w:rPr>
      </w:pPr>
      <w:r w:rsidRPr="00380DE4">
        <w:rPr>
          <w:rFonts w:ascii="Arial" w:hAnsi="Arial" w:cs="Arial"/>
          <w:sz w:val="20"/>
          <w:szCs w:val="20"/>
        </w:rPr>
        <w:t xml:space="preserve">This authority will set a limit for its investments which are invested for </w:t>
      </w:r>
      <w:r w:rsidRPr="00380DE4">
        <w:rPr>
          <w:rFonts w:ascii="Arial" w:hAnsi="Arial" w:cs="Arial"/>
          <w:b/>
          <w:sz w:val="20"/>
          <w:szCs w:val="20"/>
        </w:rPr>
        <w:t>longer than 365 days</w:t>
      </w:r>
      <w:r w:rsidRPr="00380DE4">
        <w:rPr>
          <w:rFonts w:ascii="Arial" w:hAnsi="Arial" w:cs="Arial"/>
          <w:sz w:val="20"/>
          <w:szCs w:val="20"/>
        </w:rPr>
        <w:t xml:space="preserve">, (see paragraph 4.4).  </w:t>
      </w:r>
    </w:p>
    <w:p w14:paraId="2C3143DE" w14:textId="77777777" w:rsidR="00053B73" w:rsidRPr="00380DE4" w:rsidRDefault="00053B73" w:rsidP="00224597">
      <w:pPr>
        <w:pStyle w:val="ListParagraph"/>
        <w:ind w:left="284"/>
        <w:jc w:val="both"/>
        <w:rPr>
          <w:rFonts w:ascii="Arial" w:hAnsi="Arial" w:cs="Arial"/>
          <w:sz w:val="20"/>
          <w:szCs w:val="20"/>
        </w:rPr>
      </w:pPr>
    </w:p>
    <w:p w14:paraId="79055DBB" w14:textId="77777777" w:rsidR="00053B73" w:rsidRPr="00380DE4" w:rsidRDefault="00A724BF" w:rsidP="00CF69B5">
      <w:pPr>
        <w:pStyle w:val="ListParagraph"/>
        <w:numPr>
          <w:ilvl w:val="0"/>
          <w:numId w:val="16"/>
        </w:numPr>
        <w:jc w:val="both"/>
        <w:rPr>
          <w:rFonts w:ascii="Arial" w:hAnsi="Arial" w:cs="Arial"/>
          <w:sz w:val="20"/>
          <w:szCs w:val="20"/>
        </w:rPr>
      </w:pPr>
      <w:r w:rsidRPr="00380DE4">
        <w:rPr>
          <w:rFonts w:ascii="Arial" w:hAnsi="Arial" w:cs="Arial"/>
          <w:sz w:val="20"/>
          <w:szCs w:val="20"/>
        </w:rPr>
        <w:t xml:space="preserve">Investments will only be placed with counterparties from countries with a specified minimum </w:t>
      </w:r>
      <w:r w:rsidRPr="00380DE4">
        <w:rPr>
          <w:rFonts w:ascii="Arial" w:hAnsi="Arial" w:cs="Arial"/>
          <w:b/>
          <w:sz w:val="20"/>
          <w:szCs w:val="20"/>
        </w:rPr>
        <w:t>sovereign rating</w:t>
      </w:r>
      <w:r w:rsidRPr="00380DE4">
        <w:rPr>
          <w:rFonts w:ascii="Arial" w:hAnsi="Arial" w:cs="Arial"/>
          <w:sz w:val="20"/>
          <w:szCs w:val="20"/>
        </w:rPr>
        <w:t>, (see paragraph 4.3).</w:t>
      </w:r>
    </w:p>
    <w:p w14:paraId="5DE9D714" w14:textId="77777777" w:rsidR="00053B73" w:rsidRPr="00B66EDA" w:rsidRDefault="00053B73" w:rsidP="00224597">
      <w:pPr>
        <w:pStyle w:val="ListParagraph"/>
        <w:ind w:left="284"/>
        <w:jc w:val="both"/>
        <w:rPr>
          <w:rFonts w:ascii="Arial" w:hAnsi="Arial" w:cs="Arial"/>
          <w:sz w:val="20"/>
          <w:szCs w:val="20"/>
        </w:rPr>
      </w:pPr>
    </w:p>
    <w:p w14:paraId="6EECF5C0" w14:textId="77777777" w:rsidR="00053B73" w:rsidRPr="00B66EDA" w:rsidRDefault="00A724BF" w:rsidP="00CF69B5">
      <w:pPr>
        <w:pStyle w:val="ListParagraph"/>
        <w:numPr>
          <w:ilvl w:val="0"/>
          <w:numId w:val="16"/>
        </w:numPr>
        <w:jc w:val="both"/>
        <w:rPr>
          <w:rFonts w:ascii="Arial" w:hAnsi="Arial" w:cs="Arial"/>
          <w:sz w:val="20"/>
          <w:szCs w:val="20"/>
        </w:rPr>
      </w:pPr>
      <w:r w:rsidRPr="00B66EDA">
        <w:rPr>
          <w:rFonts w:ascii="Arial" w:hAnsi="Arial" w:cs="Arial"/>
          <w:sz w:val="20"/>
          <w:szCs w:val="20"/>
        </w:rPr>
        <w:t xml:space="preserve">This authority has engaged </w:t>
      </w:r>
      <w:r w:rsidRPr="00B66EDA">
        <w:rPr>
          <w:rFonts w:ascii="Arial" w:hAnsi="Arial" w:cs="Arial"/>
          <w:b/>
          <w:sz w:val="20"/>
          <w:szCs w:val="20"/>
        </w:rPr>
        <w:t xml:space="preserve">external </w:t>
      </w:r>
      <w:r w:rsidR="00EC5F59">
        <w:rPr>
          <w:rFonts w:ascii="Arial" w:hAnsi="Arial" w:cs="Arial"/>
          <w:b/>
          <w:sz w:val="20"/>
          <w:szCs w:val="20"/>
        </w:rPr>
        <w:t>specialists</w:t>
      </w:r>
      <w:r w:rsidRPr="00B66EDA">
        <w:rPr>
          <w:rFonts w:ascii="Arial" w:hAnsi="Arial" w:cs="Arial"/>
          <w:sz w:val="20"/>
          <w:szCs w:val="20"/>
        </w:rPr>
        <w:t xml:space="preserve"> to provide expert advice on how to optimise an appropriate balance of security, </w:t>
      </w:r>
      <w:proofErr w:type="gramStart"/>
      <w:r w:rsidRPr="00B66EDA">
        <w:rPr>
          <w:rFonts w:ascii="Arial" w:hAnsi="Arial" w:cs="Arial"/>
          <w:sz w:val="20"/>
          <w:szCs w:val="20"/>
        </w:rPr>
        <w:t>liquidity</w:t>
      </w:r>
      <w:proofErr w:type="gramEnd"/>
      <w:r w:rsidRPr="00B66EDA">
        <w:rPr>
          <w:rFonts w:ascii="Arial" w:hAnsi="Arial" w:cs="Arial"/>
          <w:sz w:val="20"/>
          <w:szCs w:val="20"/>
        </w:rPr>
        <w:t xml:space="preserve"> and yield, given the risk appetite of this authority in the context of the expected level of cash balances and need for liquidity throughout the year.</w:t>
      </w:r>
    </w:p>
    <w:p w14:paraId="139CBEA3" w14:textId="77777777" w:rsidR="00053B73" w:rsidRPr="00B66EDA" w:rsidRDefault="00053B73" w:rsidP="00224597">
      <w:pPr>
        <w:pStyle w:val="ListParagraph"/>
        <w:ind w:left="284"/>
        <w:rPr>
          <w:rFonts w:ascii="Arial" w:hAnsi="Arial" w:cs="Arial"/>
          <w:sz w:val="20"/>
          <w:szCs w:val="20"/>
        </w:rPr>
      </w:pPr>
    </w:p>
    <w:p w14:paraId="7F4A3EAA" w14:textId="77777777" w:rsidR="00053B73" w:rsidRPr="00B66EDA" w:rsidRDefault="00A724BF" w:rsidP="00CF69B5">
      <w:pPr>
        <w:pStyle w:val="ListParagraph"/>
        <w:numPr>
          <w:ilvl w:val="0"/>
          <w:numId w:val="16"/>
        </w:numPr>
        <w:jc w:val="both"/>
        <w:rPr>
          <w:rFonts w:ascii="Arial" w:hAnsi="Arial" w:cs="Arial"/>
          <w:color w:val="0D0D0D" w:themeColor="text1" w:themeTint="F2"/>
          <w:sz w:val="20"/>
          <w:szCs w:val="20"/>
        </w:rPr>
      </w:pPr>
      <w:r w:rsidRPr="00B66EDA">
        <w:rPr>
          <w:rFonts w:ascii="Arial" w:hAnsi="Arial" w:cs="Arial"/>
          <w:color w:val="0D0D0D" w:themeColor="text1" w:themeTint="F2"/>
          <w:sz w:val="20"/>
          <w:szCs w:val="20"/>
        </w:rPr>
        <w:t xml:space="preserve">All investments will be denominated in </w:t>
      </w:r>
      <w:r w:rsidRPr="00B66EDA">
        <w:rPr>
          <w:rFonts w:ascii="Arial" w:hAnsi="Arial" w:cs="Arial"/>
          <w:b/>
          <w:color w:val="0D0D0D" w:themeColor="text1" w:themeTint="F2"/>
          <w:sz w:val="20"/>
          <w:szCs w:val="20"/>
        </w:rPr>
        <w:t>sterling</w:t>
      </w:r>
      <w:r w:rsidRPr="00B66EDA">
        <w:rPr>
          <w:rFonts w:ascii="Arial" w:hAnsi="Arial" w:cs="Arial"/>
          <w:color w:val="0D0D0D" w:themeColor="text1" w:themeTint="F2"/>
          <w:sz w:val="20"/>
          <w:szCs w:val="20"/>
        </w:rPr>
        <w:t>.</w:t>
      </w:r>
    </w:p>
    <w:p w14:paraId="5E52FC96" w14:textId="77777777" w:rsidR="00053B73" w:rsidRPr="00B66EDA" w:rsidRDefault="00053B73" w:rsidP="00224597">
      <w:pPr>
        <w:pStyle w:val="ListParagraph"/>
        <w:ind w:left="284"/>
        <w:rPr>
          <w:rFonts w:ascii="Arial" w:hAnsi="Arial" w:cs="Arial"/>
          <w:color w:val="0D0D0D" w:themeColor="text1" w:themeTint="F2"/>
          <w:sz w:val="20"/>
          <w:szCs w:val="20"/>
        </w:rPr>
      </w:pPr>
    </w:p>
    <w:p w14:paraId="30B0F803" w14:textId="77777777" w:rsidR="00053B73" w:rsidRPr="00B66EDA" w:rsidRDefault="00053B73" w:rsidP="00053B73">
      <w:pPr>
        <w:ind w:left="709" w:hanging="425"/>
        <w:jc w:val="both"/>
        <w:rPr>
          <w:rFonts w:cs="Arial"/>
        </w:rPr>
      </w:pPr>
    </w:p>
    <w:p w14:paraId="102745B0" w14:textId="77777777" w:rsidR="00053B73" w:rsidRPr="00B66EDA" w:rsidRDefault="00A724BF" w:rsidP="00053B73">
      <w:pPr>
        <w:jc w:val="both"/>
        <w:rPr>
          <w:rFonts w:cs="Arial"/>
        </w:rPr>
      </w:pPr>
      <w:r w:rsidRPr="00B66EDA">
        <w:rPr>
          <w:rFonts w:cs="Arial"/>
        </w:rPr>
        <w:t xml:space="preserve">However, this authority will also pursue </w:t>
      </w:r>
      <w:r w:rsidRPr="00B66EDA">
        <w:rPr>
          <w:rFonts w:cs="Arial"/>
          <w:b/>
        </w:rPr>
        <w:t>value for money</w:t>
      </w:r>
      <w:r w:rsidRPr="00B66EDA">
        <w:rPr>
          <w:rFonts w:cs="Arial"/>
        </w:rPr>
        <w:t xml:space="preserve"> in treasury management and will monitor the yield from investment income against appropriate benchmarks for investment performance. Regular monitoring of investment performance will be carried out during the year.</w:t>
      </w:r>
    </w:p>
    <w:p w14:paraId="4DA92610" w14:textId="77777777" w:rsidR="00053B73" w:rsidRPr="00B66EDA" w:rsidRDefault="00053B73" w:rsidP="00053B73">
      <w:pPr>
        <w:jc w:val="both"/>
        <w:rPr>
          <w:rFonts w:cs="Arial"/>
        </w:rPr>
      </w:pPr>
    </w:p>
    <w:p w14:paraId="6D260555" w14:textId="77777777" w:rsidR="00EB796A" w:rsidRPr="00B66EDA" w:rsidRDefault="00A724BF" w:rsidP="000963F8">
      <w:pPr>
        <w:pStyle w:val="subhead"/>
        <w:numPr>
          <w:ilvl w:val="0"/>
          <w:numId w:val="0"/>
        </w:numPr>
        <w:rPr>
          <w:noProof w:val="0"/>
          <w:sz w:val="20"/>
          <w:szCs w:val="20"/>
        </w:rPr>
      </w:pPr>
      <w:bookmarkStart w:id="129" w:name="_Toc56008282"/>
      <w:r w:rsidRPr="00B66EDA">
        <w:rPr>
          <w:noProof w:val="0"/>
          <w:sz w:val="20"/>
          <w:szCs w:val="20"/>
        </w:rPr>
        <w:t xml:space="preserve">4.2 </w:t>
      </w:r>
      <w:r w:rsidRPr="00B66EDA">
        <w:rPr>
          <w:noProof w:val="0"/>
          <w:sz w:val="20"/>
          <w:szCs w:val="20"/>
        </w:rPr>
        <w:tab/>
        <w:t>Creditworthiness policy</w:t>
      </w:r>
      <w:bookmarkEnd w:id="129"/>
      <w:r w:rsidRPr="00B66EDA">
        <w:rPr>
          <w:noProof w:val="0"/>
          <w:sz w:val="20"/>
          <w:szCs w:val="20"/>
        </w:rPr>
        <w:t xml:space="preserve"> </w:t>
      </w:r>
    </w:p>
    <w:p w14:paraId="66A77FB1" w14:textId="77777777" w:rsidR="001D4F84" w:rsidRPr="001D4F84" w:rsidRDefault="00A724BF" w:rsidP="001D4F84">
      <w:pPr>
        <w:jc w:val="both"/>
        <w:rPr>
          <w:rFonts w:cs="Arial"/>
        </w:rPr>
      </w:pPr>
      <w:r w:rsidRPr="001D4F84">
        <w:rPr>
          <w:rFonts w:cs="Arial"/>
        </w:rPr>
        <w:t xml:space="preserve">This Authority applies the creditworthiness service provided by the Link Group. This service employs a sophisticated modelling approach utilising credit ratings from the three main credit rating agencies - Fitch, </w:t>
      </w:r>
      <w:proofErr w:type="gramStart"/>
      <w:r w:rsidRPr="001D4F84">
        <w:rPr>
          <w:rFonts w:cs="Arial"/>
        </w:rPr>
        <w:t>Moody’s</w:t>
      </w:r>
      <w:proofErr w:type="gramEnd"/>
      <w:r w:rsidRPr="001D4F84">
        <w:rPr>
          <w:rFonts w:cs="Arial"/>
        </w:rPr>
        <w:t xml:space="preserve"> and Standard &amp; Poor’s.  The credit ratings of counterparties are supplemented with the following overlays: -</w:t>
      </w:r>
    </w:p>
    <w:p w14:paraId="42DAA635" w14:textId="77777777" w:rsidR="001D4F84" w:rsidRPr="001D4F84" w:rsidRDefault="00A724BF" w:rsidP="001D4F84">
      <w:pPr>
        <w:numPr>
          <w:ilvl w:val="0"/>
          <w:numId w:val="47"/>
        </w:numPr>
        <w:spacing w:before="45" w:after="45"/>
        <w:ind w:left="709" w:hanging="425"/>
        <w:jc w:val="both"/>
        <w:rPr>
          <w:rFonts w:cs="Arial"/>
        </w:rPr>
      </w:pPr>
      <w:r w:rsidRPr="001D4F84">
        <w:rPr>
          <w:rFonts w:cs="Arial"/>
        </w:rPr>
        <w:t xml:space="preserve">“watches” and “outlooks” from credit rating </w:t>
      </w:r>
      <w:proofErr w:type="gramStart"/>
      <w:r w:rsidRPr="001D4F84">
        <w:rPr>
          <w:rFonts w:cs="Arial"/>
        </w:rPr>
        <w:t>agencies;</w:t>
      </w:r>
      <w:proofErr w:type="gramEnd"/>
    </w:p>
    <w:p w14:paraId="59271139" w14:textId="77777777" w:rsidR="001D4F84" w:rsidRPr="001D4F84" w:rsidRDefault="00A724BF" w:rsidP="001D4F84">
      <w:pPr>
        <w:numPr>
          <w:ilvl w:val="0"/>
          <w:numId w:val="47"/>
        </w:numPr>
        <w:spacing w:before="45" w:after="45"/>
        <w:ind w:left="709" w:hanging="425"/>
        <w:jc w:val="both"/>
        <w:rPr>
          <w:rFonts w:cs="Arial"/>
        </w:rPr>
      </w:pPr>
      <w:r w:rsidRPr="001D4F84">
        <w:rPr>
          <w:rFonts w:cs="Arial"/>
        </w:rPr>
        <w:t xml:space="preserve">CDS spreads that may give early warning of changes in credit </w:t>
      </w:r>
      <w:proofErr w:type="gramStart"/>
      <w:r w:rsidRPr="001D4F84">
        <w:rPr>
          <w:rFonts w:cs="Arial"/>
        </w:rPr>
        <w:t>ratings;</w:t>
      </w:r>
      <w:proofErr w:type="gramEnd"/>
    </w:p>
    <w:p w14:paraId="4ACCACF8" w14:textId="77777777" w:rsidR="001D4F84" w:rsidRPr="001D4F84" w:rsidRDefault="00A724BF" w:rsidP="001D4F84">
      <w:pPr>
        <w:numPr>
          <w:ilvl w:val="0"/>
          <w:numId w:val="47"/>
        </w:numPr>
        <w:spacing w:before="45" w:after="45"/>
        <w:ind w:left="709" w:hanging="425"/>
        <w:jc w:val="both"/>
        <w:rPr>
          <w:rFonts w:cs="Arial"/>
        </w:rPr>
      </w:pPr>
      <w:r w:rsidRPr="001D4F84">
        <w:rPr>
          <w:rFonts w:cs="Arial"/>
        </w:rPr>
        <w:t>sovereign ratings to select counterparties from only the most creditworthy countries.</w:t>
      </w:r>
    </w:p>
    <w:p w14:paraId="29148A33" w14:textId="77777777" w:rsidR="001D4F84" w:rsidRPr="001D4F84" w:rsidRDefault="001D4F84" w:rsidP="001D4F84">
      <w:pPr>
        <w:jc w:val="both"/>
        <w:rPr>
          <w:rFonts w:cs="Arial"/>
        </w:rPr>
      </w:pPr>
    </w:p>
    <w:p w14:paraId="140693C8" w14:textId="77777777" w:rsidR="001D4F84" w:rsidRPr="001D4F84" w:rsidRDefault="00A724BF" w:rsidP="001D4F84">
      <w:pPr>
        <w:jc w:val="both"/>
        <w:rPr>
          <w:rFonts w:cs="Arial"/>
          <w:i/>
        </w:rPr>
      </w:pPr>
      <w:bookmarkStart w:id="130" w:name="_Hlk86335110"/>
      <w:r w:rsidRPr="001D4F84">
        <w:rPr>
          <w:rFonts w:cs="Arial"/>
        </w:rPr>
        <w:t>This modelling approach combines credit ratings, and any assigned Watches and Outlooks, in a weighted scoring system which is then combined with an overlay of CDS spreads. The end-product of this is a series of colour coded bands which indicate the relative creditworthiness of counterparties. These colour codes are used by the Authority to determine the suggested duration for investments.  The Authority will, therefore, use counterparties within the following durational bands</w:t>
      </w:r>
      <w:r w:rsidRPr="001D4F84">
        <w:rPr>
          <w:rFonts w:cs="Arial"/>
          <w:i/>
        </w:rPr>
        <w:t xml:space="preserve"> </w:t>
      </w:r>
    </w:p>
    <w:bookmarkEnd w:id="130"/>
    <w:p w14:paraId="5B601D8C" w14:textId="77777777" w:rsidR="001D4F84" w:rsidRPr="001D4F84" w:rsidRDefault="001D4F84" w:rsidP="001D4F84">
      <w:pPr>
        <w:jc w:val="both"/>
        <w:rPr>
          <w:rFonts w:cs="Arial"/>
          <w:i/>
        </w:rPr>
      </w:pPr>
    </w:p>
    <w:p w14:paraId="115A5F0D" w14:textId="77777777" w:rsidR="001D4F84" w:rsidRPr="001D4F84" w:rsidRDefault="00A724BF" w:rsidP="001D4F84">
      <w:pPr>
        <w:numPr>
          <w:ilvl w:val="0"/>
          <w:numId w:val="55"/>
        </w:numPr>
        <w:tabs>
          <w:tab w:val="left" w:pos="1985"/>
        </w:tabs>
        <w:ind w:left="709" w:hanging="425"/>
        <w:rPr>
          <w:rFonts w:cs="Arial"/>
        </w:rPr>
      </w:pPr>
      <w:r w:rsidRPr="001D4F84">
        <w:rPr>
          <w:rFonts w:cs="Arial"/>
        </w:rPr>
        <w:t>Yellow</w:t>
      </w:r>
      <w:r w:rsidRPr="001D4F84">
        <w:rPr>
          <w:rFonts w:cs="Arial"/>
        </w:rPr>
        <w:tab/>
        <w:t>5 years</w:t>
      </w:r>
    </w:p>
    <w:p w14:paraId="52FD2B5F" w14:textId="77777777" w:rsidR="001D4F84" w:rsidRPr="001D4F84" w:rsidRDefault="00A724BF" w:rsidP="001D4F84">
      <w:pPr>
        <w:numPr>
          <w:ilvl w:val="0"/>
          <w:numId w:val="55"/>
        </w:numPr>
        <w:tabs>
          <w:tab w:val="num" w:pos="1985"/>
        </w:tabs>
        <w:ind w:left="709" w:hanging="425"/>
        <w:rPr>
          <w:rFonts w:cs="Arial"/>
        </w:rPr>
      </w:pPr>
      <w:r w:rsidRPr="001D4F84">
        <w:rPr>
          <w:rFonts w:cs="Arial"/>
        </w:rPr>
        <w:t>Dark pink</w:t>
      </w:r>
      <w:r w:rsidRPr="001D4F84">
        <w:rPr>
          <w:rFonts w:cs="Arial"/>
        </w:rPr>
        <w:tab/>
        <w:t>5 years for Ultra-Short Dated Bond Funds with a credit score of 1.25</w:t>
      </w:r>
    </w:p>
    <w:p w14:paraId="5575B773" w14:textId="77777777" w:rsidR="001D4F84" w:rsidRPr="001D4F84" w:rsidRDefault="00A724BF" w:rsidP="001D4F84">
      <w:pPr>
        <w:numPr>
          <w:ilvl w:val="0"/>
          <w:numId w:val="55"/>
        </w:numPr>
        <w:tabs>
          <w:tab w:val="num" w:pos="1985"/>
        </w:tabs>
        <w:ind w:left="709" w:hanging="425"/>
        <w:rPr>
          <w:rFonts w:cs="Arial"/>
        </w:rPr>
      </w:pPr>
      <w:r w:rsidRPr="001D4F84">
        <w:rPr>
          <w:rFonts w:cs="Arial"/>
        </w:rPr>
        <w:t>Light pink</w:t>
      </w:r>
      <w:r w:rsidRPr="001D4F84">
        <w:rPr>
          <w:rFonts w:cs="Arial"/>
        </w:rPr>
        <w:tab/>
        <w:t>5 years for Ultra-Short Dated Bond Funds with a credit score of 1.5</w:t>
      </w:r>
    </w:p>
    <w:p w14:paraId="200B8BC0" w14:textId="77777777" w:rsidR="001D4F84" w:rsidRPr="001D4F84" w:rsidRDefault="00A724BF" w:rsidP="001D4F84">
      <w:pPr>
        <w:numPr>
          <w:ilvl w:val="0"/>
          <w:numId w:val="55"/>
        </w:numPr>
        <w:tabs>
          <w:tab w:val="left" w:pos="1985"/>
        </w:tabs>
        <w:ind w:left="709" w:hanging="425"/>
        <w:rPr>
          <w:rFonts w:cs="Arial"/>
        </w:rPr>
      </w:pPr>
      <w:r w:rsidRPr="001D4F84">
        <w:rPr>
          <w:rFonts w:cs="Arial"/>
        </w:rPr>
        <w:t xml:space="preserve">Purple </w:t>
      </w:r>
      <w:r w:rsidRPr="001D4F84">
        <w:rPr>
          <w:rFonts w:cs="Arial"/>
        </w:rPr>
        <w:tab/>
        <w:t>2 years</w:t>
      </w:r>
    </w:p>
    <w:p w14:paraId="75FCF779" w14:textId="77777777" w:rsidR="001D4F84" w:rsidRPr="001D4F84" w:rsidRDefault="00A724BF" w:rsidP="001D4F84">
      <w:pPr>
        <w:numPr>
          <w:ilvl w:val="0"/>
          <w:numId w:val="55"/>
        </w:numPr>
        <w:tabs>
          <w:tab w:val="left" w:pos="1985"/>
        </w:tabs>
        <w:ind w:left="709" w:hanging="425"/>
        <w:rPr>
          <w:rFonts w:cs="Arial"/>
        </w:rPr>
      </w:pPr>
      <w:r w:rsidRPr="001D4F84">
        <w:rPr>
          <w:rFonts w:cs="Arial"/>
        </w:rPr>
        <w:t xml:space="preserve">Blue </w:t>
      </w:r>
      <w:r w:rsidRPr="001D4F84">
        <w:rPr>
          <w:rFonts w:cs="Arial"/>
        </w:rPr>
        <w:tab/>
        <w:t>1 year (only applies to nationalised or semi nationalised UK Banks)</w:t>
      </w:r>
    </w:p>
    <w:p w14:paraId="04AEDC0A" w14:textId="77777777" w:rsidR="001D4F84" w:rsidRPr="001D4F84" w:rsidRDefault="00A724BF" w:rsidP="001D4F84">
      <w:pPr>
        <w:numPr>
          <w:ilvl w:val="0"/>
          <w:numId w:val="55"/>
        </w:numPr>
        <w:tabs>
          <w:tab w:val="left" w:pos="1985"/>
        </w:tabs>
        <w:ind w:left="709" w:hanging="425"/>
        <w:rPr>
          <w:rFonts w:cs="Arial"/>
        </w:rPr>
      </w:pPr>
      <w:r w:rsidRPr="001D4F84">
        <w:rPr>
          <w:rFonts w:cs="Arial"/>
        </w:rPr>
        <w:t>Orange</w:t>
      </w:r>
      <w:r w:rsidRPr="001D4F84">
        <w:rPr>
          <w:rFonts w:cs="Arial"/>
        </w:rPr>
        <w:tab/>
        <w:t>1 year</w:t>
      </w:r>
    </w:p>
    <w:p w14:paraId="433C2182" w14:textId="77777777" w:rsidR="001D4F84" w:rsidRPr="001D4F84" w:rsidRDefault="00A724BF" w:rsidP="001D4F84">
      <w:pPr>
        <w:numPr>
          <w:ilvl w:val="0"/>
          <w:numId w:val="55"/>
        </w:numPr>
        <w:tabs>
          <w:tab w:val="left" w:pos="1985"/>
        </w:tabs>
        <w:ind w:left="709" w:hanging="425"/>
        <w:rPr>
          <w:rFonts w:cs="Arial"/>
        </w:rPr>
      </w:pPr>
      <w:r w:rsidRPr="001D4F84">
        <w:rPr>
          <w:rFonts w:cs="Arial"/>
        </w:rPr>
        <w:t xml:space="preserve">Red </w:t>
      </w:r>
      <w:r w:rsidRPr="001D4F84">
        <w:rPr>
          <w:rFonts w:cs="Arial"/>
        </w:rPr>
        <w:tab/>
        <w:t>6 months</w:t>
      </w:r>
    </w:p>
    <w:p w14:paraId="74DE42B4" w14:textId="77777777" w:rsidR="001D4F84" w:rsidRPr="001D4F84" w:rsidRDefault="00A724BF" w:rsidP="001D4F84">
      <w:pPr>
        <w:numPr>
          <w:ilvl w:val="0"/>
          <w:numId w:val="55"/>
        </w:numPr>
        <w:tabs>
          <w:tab w:val="left" w:pos="1985"/>
        </w:tabs>
        <w:ind w:left="709" w:hanging="425"/>
        <w:rPr>
          <w:rFonts w:cs="Arial"/>
        </w:rPr>
      </w:pPr>
      <w:r w:rsidRPr="001D4F84">
        <w:rPr>
          <w:rFonts w:cs="Arial"/>
        </w:rPr>
        <w:t xml:space="preserve">Green </w:t>
      </w:r>
      <w:r w:rsidRPr="001D4F84">
        <w:rPr>
          <w:rFonts w:cs="Arial"/>
        </w:rPr>
        <w:tab/>
        <w:t xml:space="preserve">100 days  </w:t>
      </w:r>
    </w:p>
    <w:p w14:paraId="0DB1E25D" w14:textId="77777777" w:rsidR="001D4F84" w:rsidRPr="001D4F84" w:rsidRDefault="00A724BF" w:rsidP="001D4F84">
      <w:pPr>
        <w:numPr>
          <w:ilvl w:val="0"/>
          <w:numId w:val="55"/>
        </w:numPr>
        <w:tabs>
          <w:tab w:val="left" w:pos="1985"/>
        </w:tabs>
        <w:ind w:left="709" w:hanging="425"/>
        <w:rPr>
          <w:rFonts w:cs="Arial"/>
        </w:rPr>
      </w:pPr>
      <w:r w:rsidRPr="001D4F84">
        <w:rPr>
          <w:rFonts w:cs="Arial"/>
        </w:rPr>
        <w:t xml:space="preserve">No colour </w:t>
      </w:r>
      <w:r w:rsidRPr="001D4F84">
        <w:rPr>
          <w:rFonts w:cs="Arial"/>
        </w:rPr>
        <w:tab/>
        <w:t xml:space="preserve">not to be used </w:t>
      </w:r>
    </w:p>
    <w:p w14:paraId="7C45BDB5" w14:textId="77777777" w:rsidR="001D4F84" w:rsidRPr="001D4F84" w:rsidRDefault="001D4F84" w:rsidP="001D4F84">
      <w:pPr>
        <w:tabs>
          <w:tab w:val="left" w:pos="1985"/>
        </w:tabs>
        <w:rPr>
          <w:rFonts w:cs="Arial"/>
        </w:rPr>
      </w:pPr>
    </w:p>
    <w:p w14:paraId="1A8BC43D" w14:textId="77777777" w:rsidR="001D4F84" w:rsidRPr="001D4F84" w:rsidRDefault="00A724BF" w:rsidP="001D4F84">
      <w:pPr>
        <w:numPr>
          <w:ilvl w:val="12"/>
          <w:numId w:val="0"/>
        </w:numPr>
        <w:tabs>
          <w:tab w:val="left" w:pos="0"/>
        </w:tabs>
        <w:jc w:val="both"/>
        <w:rPr>
          <w:rFonts w:cs="Arial"/>
        </w:rPr>
      </w:pPr>
      <w:bookmarkStart w:id="131" w:name="_Hlk86335164"/>
      <w:r w:rsidRPr="001D4F84">
        <w:rPr>
          <w:rFonts w:cs="Arial"/>
        </w:rPr>
        <w:t>The Link creditworthiness service uses a wider array of information other than just primary ratings. Furthermore, by using a risk weighted scoring system, it does not give undue preponderance to just one agency’s ratings.</w:t>
      </w:r>
    </w:p>
    <w:p w14:paraId="7EF418D2" w14:textId="77777777" w:rsidR="001D4F84" w:rsidRPr="001D4F84" w:rsidRDefault="001D4F84" w:rsidP="001D4F84">
      <w:pPr>
        <w:numPr>
          <w:ilvl w:val="12"/>
          <w:numId w:val="0"/>
        </w:numPr>
        <w:tabs>
          <w:tab w:val="left" w:pos="0"/>
        </w:tabs>
        <w:jc w:val="both"/>
        <w:rPr>
          <w:rFonts w:cs="Arial"/>
        </w:rPr>
      </w:pPr>
    </w:p>
    <w:p w14:paraId="7569271F" w14:textId="77777777" w:rsidR="001D4F84" w:rsidRPr="001D4F84" w:rsidRDefault="00A724BF" w:rsidP="001D4F84">
      <w:pPr>
        <w:jc w:val="both"/>
        <w:rPr>
          <w:rFonts w:cs="Arial"/>
        </w:rPr>
      </w:pPr>
      <w:r w:rsidRPr="001D4F84">
        <w:rPr>
          <w:rFonts w:cs="Arial"/>
        </w:rPr>
        <w:lastRenderedPageBreak/>
        <w:t>Typically, the minimum credit ratings criteria the Authority uses will be a short-term rating (Fitch or equivalents) of F1 and a long-term rating of A-. There may be occasions when the counterparty ratings from one rating agency are marginally lower than these ratings but may still be used.  In these instances, consideration will be given to the whole range of ratings available, or other topical market information, to support their use.</w:t>
      </w:r>
    </w:p>
    <w:p w14:paraId="5E0ED3C2" w14:textId="77777777" w:rsidR="001D4F84" w:rsidRPr="001D4F84" w:rsidRDefault="001D4F84" w:rsidP="001D4F84">
      <w:pPr>
        <w:numPr>
          <w:ilvl w:val="12"/>
          <w:numId w:val="0"/>
        </w:numPr>
        <w:tabs>
          <w:tab w:val="left" w:pos="0"/>
        </w:tabs>
        <w:jc w:val="both"/>
        <w:rPr>
          <w:rFonts w:cs="Arial"/>
        </w:rPr>
      </w:pPr>
    </w:p>
    <w:p w14:paraId="79DEB149" w14:textId="77777777" w:rsidR="001D4F84" w:rsidRPr="001D4F84" w:rsidRDefault="00A724BF" w:rsidP="001D4F84">
      <w:pPr>
        <w:tabs>
          <w:tab w:val="left" w:pos="0"/>
        </w:tabs>
        <w:spacing w:after="90"/>
        <w:jc w:val="both"/>
        <w:rPr>
          <w:rFonts w:cs="Arial"/>
        </w:rPr>
      </w:pPr>
      <w:r w:rsidRPr="001D4F84">
        <w:rPr>
          <w:rFonts w:cs="Arial"/>
        </w:rPr>
        <w:t>All credit ratings will be monitored</w:t>
      </w:r>
      <w:r w:rsidR="00EC5F59">
        <w:rPr>
          <w:rFonts w:cs="Arial"/>
        </w:rPr>
        <w:t xml:space="preserve">. </w:t>
      </w:r>
      <w:r w:rsidRPr="001D4F84">
        <w:rPr>
          <w:rFonts w:cs="Arial"/>
        </w:rPr>
        <w:t xml:space="preserve">The Authority is alerted to changes to ratings of all three agencies through its use of the Link creditworthiness service. </w:t>
      </w:r>
    </w:p>
    <w:p w14:paraId="6F44285D" w14:textId="77777777" w:rsidR="001D4F84" w:rsidRPr="001D4F84" w:rsidRDefault="00A724BF" w:rsidP="001D4F84">
      <w:pPr>
        <w:pStyle w:val="ListParagraph"/>
        <w:numPr>
          <w:ilvl w:val="0"/>
          <w:numId w:val="56"/>
        </w:numPr>
        <w:tabs>
          <w:tab w:val="left" w:pos="360"/>
        </w:tabs>
        <w:spacing w:before="45" w:after="45"/>
        <w:jc w:val="both"/>
        <w:rPr>
          <w:rFonts w:ascii="Arial" w:hAnsi="Arial" w:cs="Arial"/>
          <w:sz w:val="20"/>
          <w:szCs w:val="20"/>
        </w:rPr>
      </w:pPr>
      <w:r w:rsidRPr="001D4F84">
        <w:rPr>
          <w:rFonts w:ascii="Arial" w:hAnsi="Arial" w:cs="Arial"/>
          <w:sz w:val="20"/>
          <w:szCs w:val="20"/>
        </w:rPr>
        <w:t>if a downgrade results in the counterparty / investment scheme no longer meeting the Authority’s minimum criteria, its further use as a new investment will be withdrawn immediately.</w:t>
      </w:r>
    </w:p>
    <w:p w14:paraId="24CD78E3" w14:textId="77777777" w:rsidR="001D4F84" w:rsidRPr="001D4F84" w:rsidRDefault="00A724BF" w:rsidP="001D4F84">
      <w:pPr>
        <w:pStyle w:val="ListParagraph"/>
        <w:numPr>
          <w:ilvl w:val="0"/>
          <w:numId w:val="56"/>
        </w:numPr>
        <w:tabs>
          <w:tab w:val="left" w:pos="360"/>
        </w:tabs>
        <w:spacing w:before="45" w:after="180"/>
        <w:jc w:val="both"/>
        <w:rPr>
          <w:rFonts w:ascii="Arial" w:hAnsi="Arial" w:cs="Arial"/>
          <w:sz w:val="20"/>
          <w:szCs w:val="20"/>
        </w:rPr>
      </w:pPr>
      <w:r w:rsidRPr="001D4F84">
        <w:rPr>
          <w:rFonts w:ascii="Arial" w:hAnsi="Arial" w:cs="Arial"/>
          <w:sz w:val="20"/>
          <w:szCs w:val="20"/>
        </w:rPr>
        <w:t xml:space="preserve">in addition to the use of credit ratings the Authority will be advised of information in movements in Credit Default Swap spreads against the </w:t>
      </w:r>
      <w:proofErr w:type="spellStart"/>
      <w:r w:rsidRPr="001D4F84">
        <w:rPr>
          <w:rFonts w:ascii="Arial" w:hAnsi="Arial" w:cs="Arial"/>
          <w:sz w:val="20"/>
          <w:szCs w:val="20"/>
        </w:rPr>
        <w:t>iTraxx</w:t>
      </w:r>
      <w:proofErr w:type="spellEnd"/>
      <w:r w:rsidRPr="001D4F84">
        <w:rPr>
          <w:rFonts w:ascii="Arial" w:hAnsi="Arial" w:cs="Arial"/>
          <w:sz w:val="20"/>
          <w:szCs w:val="20"/>
        </w:rPr>
        <w:t xml:space="preserve"> European Senior Financials benchmark and other market data on a daily basis via its </w:t>
      </w:r>
      <w:proofErr w:type="gramStart"/>
      <w:r w:rsidRPr="001D4F84">
        <w:rPr>
          <w:rFonts w:ascii="Arial" w:hAnsi="Arial" w:cs="Arial"/>
          <w:sz w:val="20"/>
          <w:szCs w:val="20"/>
        </w:rPr>
        <w:t>Passport</w:t>
      </w:r>
      <w:proofErr w:type="gramEnd"/>
      <w:r w:rsidRPr="001D4F84">
        <w:rPr>
          <w:rFonts w:ascii="Arial" w:hAnsi="Arial" w:cs="Arial"/>
          <w:sz w:val="20"/>
          <w:szCs w:val="20"/>
        </w:rPr>
        <w:t xml:space="preserve"> website, provided exclusively to it by Link. Extreme market movements may result in downgrade of an institution or removal from the Authority’s lending list.</w:t>
      </w:r>
    </w:p>
    <w:p w14:paraId="79A3751A" w14:textId="77777777" w:rsidR="001D4F84" w:rsidRPr="001D4F84" w:rsidRDefault="00A724BF" w:rsidP="001D4F84">
      <w:pPr>
        <w:jc w:val="both"/>
        <w:rPr>
          <w:rFonts w:cs="Arial"/>
        </w:rPr>
      </w:pPr>
      <w:r w:rsidRPr="001D4F84">
        <w:rPr>
          <w:rFonts w:cs="Arial"/>
        </w:rPr>
        <w:t xml:space="preserve">Sole reliance will not be placed on the use of this external service.  In addition, this Authority will also use market data and market information, as well as information on any external support for banks to help support its decision-making process. </w:t>
      </w:r>
    </w:p>
    <w:bookmarkEnd w:id="131"/>
    <w:p w14:paraId="0ED06215" w14:textId="77777777" w:rsidR="001D4F84" w:rsidRPr="001D4F84" w:rsidRDefault="00A724BF" w:rsidP="001D4F84">
      <w:pPr>
        <w:tabs>
          <w:tab w:val="left" w:pos="1985"/>
        </w:tabs>
        <w:rPr>
          <w:rFonts w:cs="Arial"/>
        </w:rPr>
      </w:pPr>
      <w:r w:rsidRPr="001D4F84">
        <w:rPr>
          <w:rFonts w:cs="Arial"/>
          <w:noProof/>
          <w:lang w:eastAsia="en-GB"/>
        </w:rPr>
        <w:drawing>
          <wp:anchor distT="0" distB="0" distL="114300" distR="114300" simplePos="0" relativeHeight="251658240" behindDoc="1" locked="0" layoutInCell="1" allowOverlap="1" wp14:anchorId="2FED5CDF" wp14:editId="40109AAC">
            <wp:simplePos x="0" y="0"/>
            <wp:positionH relativeFrom="margin">
              <wp:align>left</wp:align>
            </wp:positionH>
            <wp:positionV relativeFrom="paragraph">
              <wp:posOffset>211455</wp:posOffset>
            </wp:positionV>
            <wp:extent cx="5631815" cy="572135"/>
            <wp:effectExtent l="0" t="0" r="6985" b="0"/>
            <wp:wrapTight wrapText="bothSides">
              <wp:wrapPolygon edited="0">
                <wp:start x="0" y="0"/>
                <wp:lineTo x="0" y="20857"/>
                <wp:lineTo x="21554" y="20857"/>
                <wp:lineTo x="21554"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655366" name="Picture 1"/>
                    <pic:cNvPicPr>
                      <a:picLocks noChangeAspect="1" noChangeArrowheads="1"/>
                    </pic:cNvPicPr>
                  </pic:nvPicPr>
                  <pic:blipFill>
                    <a:blip r:embed="rId10"/>
                    <a:stretch>
                      <a:fillRect/>
                    </a:stretch>
                  </pic:blipFill>
                  <pic:spPr bwMode="auto">
                    <a:xfrm>
                      <a:off x="0" y="0"/>
                      <a:ext cx="5631815" cy="572135"/>
                    </a:xfrm>
                    <a:prstGeom prst="rect">
                      <a:avLst/>
                    </a:prstGeom>
                    <a:noFill/>
                  </pic:spPr>
                </pic:pic>
              </a:graphicData>
            </a:graphic>
            <wp14:sizeRelH relativeFrom="margin">
              <wp14:pctWidth>0</wp14:pctWidth>
            </wp14:sizeRelH>
          </wp:anchor>
        </w:drawing>
      </w:r>
    </w:p>
    <w:p w14:paraId="6B4F6803" w14:textId="77777777" w:rsidR="001D4F84" w:rsidRPr="00D07ABD" w:rsidRDefault="001D4F84" w:rsidP="001D4F84">
      <w:pPr>
        <w:tabs>
          <w:tab w:val="left" w:pos="1985"/>
        </w:tabs>
        <w:rPr>
          <w:rFonts w:cs="Arial"/>
          <w:sz w:val="22"/>
          <w:szCs w:val="22"/>
        </w:rPr>
      </w:pPr>
    </w:p>
    <w:tbl>
      <w:tblPr>
        <w:tblW w:w="8895" w:type="dxa"/>
        <w:tblCellSpacing w:w="0" w:type="dxa"/>
        <w:tblCellMar>
          <w:left w:w="0" w:type="dxa"/>
          <w:right w:w="0" w:type="dxa"/>
        </w:tblCellMar>
        <w:tblLook w:val="0000" w:firstRow="0" w:lastRow="0" w:firstColumn="0" w:lastColumn="0" w:noHBand="0" w:noVBand="0"/>
      </w:tblPr>
      <w:tblGrid>
        <w:gridCol w:w="3149"/>
        <w:gridCol w:w="1825"/>
        <w:gridCol w:w="1263"/>
        <w:gridCol w:w="1524"/>
        <w:gridCol w:w="1134"/>
      </w:tblGrid>
      <w:tr w:rsidR="002252C6" w14:paraId="1DF896A3" w14:textId="77777777" w:rsidTr="004466E8">
        <w:trPr>
          <w:trHeight w:val="480"/>
          <w:tblCellSpacing w:w="0" w:type="dxa"/>
        </w:trPr>
        <w:tc>
          <w:tcPr>
            <w:tcW w:w="3149" w:type="dxa"/>
            <w:tcBorders>
              <w:top w:val="single" w:sz="4" w:space="0" w:color="auto"/>
              <w:left w:val="single" w:sz="4" w:space="0" w:color="auto"/>
              <w:bottom w:val="single" w:sz="6" w:space="0" w:color="000000"/>
              <w:right w:val="single" w:sz="6" w:space="0" w:color="000000"/>
            </w:tcBorders>
            <w:shd w:val="clear" w:color="auto" w:fill="C0C0C0"/>
          </w:tcPr>
          <w:p w14:paraId="6056379E" w14:textId="77777777" w:rsidR="001D4F84" w:rsidRPr="00D07ABD" w:rsidRDefault="00A724BF" w:rsidP="004466E8">
            <w:pPr>
              <w:pStyle w:val="BodyText2"/>
              <w:spacing w:after="120"/>
              <w:rPr>
                <w:rFonts w:ascii="Arial" w:hAnsi="Arial" w:cs="Arial"/>
                <w:b/>
                <w:iCs/>
                <w:szCs w:val="22"/>
              </w:rPr>
            </w:pPr>
            <w:r w:rsidRPr="00D07ABD">
              <w:rPr>
                <w:rFonts w:ascii="Arial" w:hAnsi="Arial" w:cs="Arial"/>
                <w:b/>
                <w:iCs/>
                <w:szCs w:val="22"/>
              </w:rPr>
              <w:t> </w:t>
            </w:r>
          </w:p>
        </w:tc>
        <w:tc>
          <w:tcPr>
            <w:tcW w:w="1825" w:type="dxa"/>
            <w:tcBorders>
              <w:top w:val="single" w:sz="4" w:space="0" w:color="auto"/>
              <w:left w:val="single" w:sz="4" w:space="0" w:color="auto"/>
              <w:bottom w:val="single" w:sz="6" w:space="0" w:color="000000"/>
              <w:right w:val="single" w:sz="4" w:space="0" w:color="auto"/>
            </w:tcBorders>
            <w:shd w:val="clear" w:color="auto" w:fill="C0C0C0"/>
          </w:tcPr>
          <w:p w14:paraId="66A0A467"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Colour (and long-term rating where applicable)</w:t>
            </w:r>
          </w:p>
        </w:tc>
        <w:tc>
          <w:tcPr>
            <w:tcW w:w="1263" w:type="dxa"/>
            <w:tcBorders>
              <w:top w:val="single" w:sz="4" w:space="0" w:color="auto"/>
              <w:left w:val="single" w:sz="6" w:space="0" w:color="000000"/>
              <w:bottom w:val="single" w:sz="6" w:space="0" w:color="000000"/>
              <w:right w:val="single" w:sz="6" w:space="0" w:color="000000"/>
            </w:tcBorders>
            <w:shd w:val="clear" w:color="auto" w:fill="C0C0C0"/>
          </w:tcPr>
          <w:p w14:paraId="3BCFF4DC"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Money</w:t>
            </w:r>
          </w:p>
          <w:p w14:paraId="33F175E9"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limit</w:t>
            </w:r>
          </w:p>
        </w:tc>
        <w:tc>
          <w:tcPr>
            <w:tcW w:w="1524" w:type="dxa"/>
            <w:tcBorders>
              <w:top w:val="single" w:sz="4" w:space="0" w:color="auto"/>
              <w:left w:val="single" w:sz="6" w:space="0" w:color="000000"/>
              <w:bottom w:val="single" w:sz="6" w:space="0" w:color="000000"/>
              <w:right w:val="single" w:sz="6" w:space="0" w:color="000000"/>
            </w:tcBorders>
            <w:shd w:val="clear" w:color="auto" w:fill="C0C0C0"/>
          </w:tcPr>
          <w:p w14:paraId="51454B41"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Transaction limit</w:t>
            </w:r>
          </w:p>
        </w:tc>
        <w:tc>
          <w:tcPr>
            <w:tcW w:w="1134" w:type="dxa"/>
            <w:tcBorders>
              <w:top w:val="single" w:sz="4" w:space="0" w:color="auto"/>
              <w:left w:val="single" w:sz="6" w:space="0" w:color="000000"/>
              <w:bottom w:val="single" w:sz="6" w:space="0" w:color="000000"/>
              <w:right w:val="single" w:sz="4" w:space="0" w:color="auto"/>
            </w:tcBorders>
            <w:shd w:val="clear" w:color="auto" w:fill="C0C0C0"/>
          </w:tcPr>
          <w:p w14:paraId="6A64CDC2"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 xml:space="preserve">Time </w:t>
            </w:r>
          </w:p>
          <w:p w14:paraId="383680D1"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limit</w:t>
            </w:r>
          </w:p>
        </w:tc>
      </w:tr>
      <w:tr w:rsidR="002252C6" w14:paraId="5930369C" w14:textId="77777777" w:rsidTr="004466E8">
        <w:trPr>
          <w:trHeight w:val="330"/>
          <w:tblCellSpacing w:w="0" w:type="dxa"/>
        </w:trPr>
        <w:tc>
          <w:tcPr>
            <w:tcW w:w="3149" w:type="dxa"/>
            <w:tcBorders>
              <w:top w:val="single" w:sz="6" w:space="0" w:color="000000"/>
              <w:left w:val="single" w:sz="4" w:space="0" w:color="auto"/>
              <w:bottom w:val="single" w:sz="6" w:space="0" w:color="000000"/>
              <w:right w:val="single" w:sz="6" w:space="0" w:color="000000"/>
            </w:tcBorders>
          </w:tcPr>
          <w:p w14:paraId="64B7B458" w14:textId="77777777" w:rsidR="001D4F84" w:rsidRPr="00D07ABD" w:rsidRDefault="00A724BF" w:rsidP="004466E8">
            <w:pPr>
              <w:pStyle w:val="BodyText2"/>
              <w:spacing w:after="120"/>
              <w:rPr>
                <w:rFonts w:ascii="Arial" w:hAnsi="Arial" w:cs="Arial"/>
                <w:b/>
                <w:iCs/>
                <w:szCs w:val="22"/>
              </w:rPr>
            </w:pPr>
            <w:r w:rsidRPr="00D07ABD">
              <w:rPr>
                <w:rFonts w:ascii="Arial" w:hAnsi="Arial" w:cs="Arial"/>
                <w:b/>
                <w:iCs/>
                <w:szCs w:val="22"/>
              </w:rPr>
              <w:t>Banks</w:t>
            </w:r>
          </w:p>
        </w:tc>
        <w:tc>
          <w:tcPr>
            <w:tcW w:w="1825" w:type="dxa"/>
            <w:tcBorders>
              <w:top w:val="single" w:sz="6" w:space="0" w:color="000000"/>
              <w:left w:val="single" w:sz="4" w:space="0" w:color="auto"/>
              <w:bottom w:val="single" w:sz="6" w:space="0" w:color="000000"/>
              <w:right w:val="single" w:sz="4" w:space="0" w:color="auto"/>
            </w:tcBorders>
          </w:tcPr>
          <w:p w14:paraId="768E7898" w14:textId="77777777" w:rsidR="001D4F84" w:rsidRPr="00D07ABD" w:rsidRDefault="00A724BF" w:rsidP="004466E8">
            <w:pPr>
              <w:pStyle w:val="BodyText2"/>
              <w:spacing w:after="120"/>
              <w:jc w:val="center"/>
              <w:rPr>
                <w:rFonts w:ascii="Arial" w:hAnsi="Arial" w:cs="Arial"/>
                <w:b/>
                <w:iCs/>
                <w:szCs w:val="22"/>
              </w:rPr>
            </w:pPr>
            <w:r>
              <w:rPr>
                <w:rFonts w:ascii="Arial" w:hAnsi="Arial" w:cs="Arial"/>
                <w:b/>
                <w:iCs/>
                <w:szCs w:val="22"/>
              </w:rPr>
              <w:t>Y</w:t>
            </w:r>
            <w:r w:rsidRPr="00D07ABD">
              <w:rPr>
                <w:rFonts w:ascii="Arial" w:hAnsi="Arial" w:cs="Arial"/>
                <w:b/>
                <w:iCs/>
                <w:szCs w:val="22"/>
              </w:rPr>
              <w:t>ellow</w:t>
            </w:r>
          </w:p>
        </w:tc>
        <w:tc>
          <w:tcPr>
            <w:tcW w:w="1263" w:type="dxa"/>
            <w:tcBorders>
              <w:top w:val="single" w:sz="6" w:space="0" w:color="000000"/>
              <w:left w:val="single" w:sz="6" w:space="0" w:color="000000"/>
              <w:bottom w:val="single" w:sz="6" w:space="0" w:color="000000"/>
              <w:right w:val="single" w:sz="6" w:space="0" w:color="000000"/>
            </w:tcBorders>
          </w:tcPr>
          <w:p w14:paraId="52B55D3F"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w:t>
            </w:r>
            <w:r w:rsidR="00966E39">
              <w:rPr>
                <w:rFonts w:ascii="Arial" w:hAnsi="Arial" w:cs="Arial"/>
                <w:b/>
                <w:iCs/>
                <w:szCs w:val="22"/>
              </w:rPr>
              <w:t>5</w:t>
            </w:r>
            <w:r w:rsidRPr="00D07ABD">
              <w:rPr>
                <w:rFonts w:ascii="Arial" w:hAnsi="Arial" w:cs="Arial"/>
                <w:b/>
                <w:iCs/>
                <w:szCs w:val="22"/>
              </w:rPr>
              <w:t>m</w:t>
            </w:r>
          </w:p>
        </w:tc>
        <w:tc>
          <w:tcPr>
            <w:tcW w:w="1524" w:type="dxa"/>
            <w:tcBorders>
              <w:top w:val="single" w:sz="6" w:space="0" w:color="000000"/>
              <w:left w:val="single" w:sz="6" w:space="0" w:color="000000"/>
              <w:bottom w:val="single" w:sz="6" w:space="0" w:color="000000"/>
              <w:right w:val="single" w:sz="6" w:space="0" w:color="000000"/>
            </w:tcBorders>
          </w:tcPr>
          <w:p w14:paraId="12C727CF"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w:t>
            </w:r>
            <w:r w:rsidR="00966E39">
              <w:rPr>
                <w:rFonts w:ascii="Arial" w:hAnsi="Arial" w:cs="Arial"/>
                <w:b/>
                <w:iCs/>
                <w:szCs w:val="22"/>
              </w:rPr>
              <w:t>5</w:t>
            </w:r>
            <w:r w:rsidRPr="00D07ABD">
              <w:rPr>
                <w:rFonts w:ascii="Arial" w:hAnsi="Arial" w:cs="Arial"/>
                <w:b/>
                <w:iCs/>
                <w:szCs w:val="22"/>
              </w:rPr>
              <w:t>m</w:t>
            </w:r>
          </w:p>
        </w:tc>
        <w:tc>
          <w:tcPr>
            <w:tcW w:w="1134" w:type="dxa"/>
            <w:tcBorders>
              <w:top w:val="single" w:sz="6" w:space="0" w:color="000000"/>
              <w:left w:val="single" w:sz="6" w:space="0" w:color="000000"/>
              <w:bottom w:val="single" w:sz="6" w:space="0" w:color="000000"/>
              <w:right w:val="single" w:sz="4" w:space="0" w:color="auto"/>
            </w:tcBorders>
          </w:tcPr>
          <w:p w14:paraId="7D4EF594"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5</w:t>
            </w:r>
            <w:r w:rsidR="002C47B4">
              <w:rPr>
                <w:rFonts w:ascii="Arial" w:hAnsi="Arial" w:cs="Arial"/>
                <w:b/>
                <w:iCs/>
                <w:szCs w:val="22"/>
              </w:rPr>
              <w:t xml:space="preserve"> </w:t>
            </w:r>
            <w:proofErr w:type="spellStart"/>
            <w:r w:rsidRPr="00D07ABD">
              <w:rPr>
                <w:rFonts w:ascii="Arial" w:hAnsi="Arial" w:cs="Arial"/>
                <w:b/>
                <w:iCs/>
                <w:szCs w:val="22"/>
              </w:rPr>
              <w:t>yrs</w:t>
            </w:r>
            <w:proofErr w:type="spellEnd"/>
          </w:p>
        </w:tc>
      </w:tr>
      <w:tr w:rsidR="002252C6" w14:paraId="6133F120" w14:textId="77777777" w:rsidTr="004466E8">
        <w:trPr>
          <w:trHeight w:val="330"/>
          <w:tblCellSpacing w:w="0" w:type="dxa"/>
        </w:trPr>
        <w:tc>
          <w:tcPr>
            <w:tcW w:w="3149" w:type="dxa"/>
            <w:tcBorders>
              <w:top w:val="single" w:sz="6" w:space="0" w:color="000000"/>
              <w:left w:val="single" w:sz="4" w:space="0" w:color="auto"/>
              <w:bottom w:val="single" w:sz="6" w:space="0" w:color="000000"/>
              <w:right w:val="single" w:sz="6" w:space="0" w:color="000000"/>
            </w:tcBorders>
          </w:tcPr>
          <w:p w14:paraId="29ABE4A7" w14:textId="77777777" w:rsidR="001D4F84" w:rsidRPr="00D07ABD" w:rsidRDefault="00A724BF" w:rsidP="004466E8">
            <w:pPr>
              <w:pStyle w:val="BodyText2"/>
              <w:spacing w:after="120"/>
              <w:rPr>
                <w:rFonts w:ascii="Arial" w:hAnsi="Arial" w:cs="Arial"/>
                <w:b/>
                <w:iCs/>
                <w:szCs w:val="22"/>
              </w:rPr>
            </w:pPr>
            <w:r w:rsidRPr="00D07ABD">
              <w:rPr>
                <w:rFonts w:ascii="Arial" w:hAnsi="Arial" w:cs="Arial"/>
                <w:b/>
                <w:iCs/>
                <w:szCs w:val="22"/>
              </w:rPr>
              <w:t xml:space="preserve">Banks </w:t>
            </w:r>
          </w:p>
        </w:tc>
        <w:tc>
          <w:tcPr>
            <w:tcW w:w="1825" w:type="dxa"/>
            <w:tcBorders>
              <w:top w:val="single" w:sz="6" w:space="0" w:color="000000"/>
              <w:left w:val="single" w:sz="4" w:space="0" w:color="auto"/>
              <w:bottom w:val="single" w:sz="6" w:space="0" w:color="000000"/>
              <w:right w:val="single" w:sz="4" w:space="0" w:color="auto"/>
            </w:tcBorders>
          </w:tcPr>
          <w:p w14:paraId="426F9650" w14:textId="77777777" w:rsidR="001D4F84" w:rsidRPr="00D07ABD" w:rsidRDefault="00A724BF" w:rsidP="004466E8">
            <w:pPr>
              <w:pStyle w:val="BodyText2"/>
              <w:spacing w:after="120"/>
              <w:jc w:val="center"/>
              <w:rPr>
                <w:rFonts w:ascii="Arial" w:hAnsi="Arial" w:cs="Arial"/>
                <w:b/>
                <w:iCs/>
                <w:szCs w:val="22"/>
              </w:rPr>
            </w:pPr>
            <w:r>
              <w:rPr>
                <w:rFonts w:ascii="Arial" w:hAnsi="Arial" w:cs="Arial"/>
                <w:b/>
                <w:iCs/>
                <w:szCs w:val="22"/>
              </w:rPr>
              <w:t>P</w:t>
            </w:r>
            <w:r w:rsidRPr="00D07ABD">
              <w:rPr>
                <w:rFonts w:ascii="Arial" w:hAnsi="Arial" w:cs="Arial"/>
                <w:b/>
                <w:iCs/>
                <w:szCs w:val="22"/>
              </w:rPr>
              <w:t>urple</w:t>
            </w:r>
          </w:p>
        </w:tc>
        <w:tc>
          <w:tcPr>
            <w:tcW w:w="1263" w:type="dxa"/>
            <w:tcBorders>
              <w:top w:val="single" w:sz="6" w:space="0" w:color="000000"/>
              <w:left w:val="single" w:sz="6" w:space="0" w:color="000000"/>
              <w:bottom w:val="single" w:sz="6" w:space="0" w:color="000000"/>
              <w:right w:val="single" w:sz="6" w:space="0" w:color="000000"/>
            </w:tcBorders>
          </w:tcPr>
          <w:p w14:paraId="4DE64504"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w:t>
            </w:r>
            <w:r w:rsidR="00966E39">
              <w:rPr>
                <w:rFonts w:ascii="Arial" w:hAnsi="Arial" w:cs="Arial"/>
                <w:b/>
                <w:iCs/>
                <w:szCs w:val="22"/>
              </w:rPr>
              <w:t>5</w:t>
            </w:r>
            <w:r w:rsidRPr="00D07ABD">
              <w:rPr>
                <w:rFonts w:ascii="Arial" w:hAnsi="Arial" w:cs="Arial"/>
                <w:b/>
                <w:iCs/>
                <w:szCs w:val="22"/>
              </w:rPr>
              <w:t>m</w:t>
            </w:r>
          </w:p>
        </w:tc>
        <w:tc>
          <w:tcPr>
            <w:tcW w:w="1524" w:type="dxa"/>
            <w:tcBorders>
              <w:top w:val="single" w:sz="6" w:space="0" w:color="000000"/>
              <w:left w:val="single" w:sz="6" w:space="0" w:color="000000"/>
              <w:bottom w:val="single" w:sz="6" w:space="0" w:color="000000"/>
              <w:right w:val="single" w:sz="6" w:space="0" w:color="000000"/>
            </w:tcBorders>
          </w:tcPr>
          <w:p w14:paraId="15F28F03"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w:t>
            </w:r>
            <w:r w:rsidR="00966E39">
              <w:rPr>
                <w:rFonts w:ascii="Arial" w:hAnsi="Arial" w:cs="Arial"/>
                <w:b/>
                <w:iCs/>
                <w:szCs w:val="22"/>
              </w:rPr>
              <w:t>5</w:t>
            </w:r>
            <w:r w:rsidRPr="00D07ABD">
              <w:rPr>
                <w:rFonts w:ascii="Arial" w:hAnsi="Arial" w:cs="Arial"/>
                <w:b/>
                <w:iCs/>
                <w:szCs w:val="22"/>
              </w:rPr>
              <w:t>m</w:t>
            </w:r>
          </w:p>
        </w:tc>
        <w:tc>
          <w:tcPr>
            <w:tcW w:w="1134" w:type="dxa"/>
            <w:tcBorders>
              <w:top w:val="single" w:sz="6" w:space="0" w:color="000000"/>
              <w:left w:val="single" w:sz="6" w:space="0" w:color="000000"/>
              <w:bottom w:val="single" w:sz="6" w:space="0" w:color="000000"/>
              <w:right w:val="single" w:sz="4" w:space="0" w:color="auto"/>
            </w:tcBorders>
          </w:tcPr>
          <w:p w14:paraId="1565106D"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2</w:t>
            </w:r>
            <w:r w:rsidR="002C47B4">
              <w:rPr>
                <w:rFonts w:ascii="Arial" w:hAnsi="Arial" w:cs="Arial"/>
                <w:b/>
                <w:iCs/>
                <w:szCs w:val="22"/>
              </w:rPr>
              <w:t xml:space="preserve"> </w:t>
            </w:r>
            <w:proofErr w:type="spellStart"/>
            <w:r w:rsidRPr="00D07ABD">
              <w:rPr>
                <w:rFonts w:ascii="Arial" w:hAnsi="Arial" w:cs="Arial"/>
                <w:b/>
                <w:iCs/>
                <w:szCs w:val="22"/>
              </w:rPr>
              <w:t>yrs</w:t>
            </w:r>
            <w:proofErr w:type="spellEnd"/>
          </w:p>
        </w:tc>
      </w:tr>
      <w:tr w:rsidR="002252C6" w14:paraId="0A269CAF" w14:textId="77777777" w:rsidTr="004466E8">
        <w:trPr>
          <w:trHeight w:val="330"/>
          <w:tblCellSpacing w:w="0" w:type="dxa"/>
        </w:trPr>
        <w:tc>
          <w:tcPr>
            <w:tcW w:w="3149" w:type="dxa"/>
            <w:tcBorders>
              <w:top w:val="single" w:sz="6" w:space="0" w:color="000000"/>
              <w:left w:val="single" w:sz="4" w:space="0" w:color="auto"/>
              <w:bottom w:val="single" w:sz="6" w:space="0" w:color="000000"/>
              <w:right w:val="single" w:sz="6" w:space="0" w:color="000000"/>
            </w:tcBorders>
          </w:tcPr>
          <w:p w14:paraId="20B63610" w14:textId="77777777" w:rsidR="001D4F84" w:rsidRPr="00D07ABD" w:rsidRDefault="00A724BF" w:rsidP="004466E8">
            <w:pPr>
              <w:pStyle w:val="BodyText2"/>
              <w:spacing w:after="120"/>
              <w:rPr>
                <w:rFonts w:ascii="Arial" w:hAnsi="Arial" w:cs="Arial"/>
                <w:b/>
                <w:iCs/>
                <w:szCs w:val="22"/>
              </w:rPr>
            </w:pPr>
            <w:r w:rsidRPr="00D07ABD">
              <w:rPr>
                <w:rFonts w:ascii="Arial" w:hAnsi="Arial" w:cs="Arial"/>
                <w:b/>
                <w:iCs/>
                <w:szCs w:val="22"/>
              </w:rPr>
              <w:t xml:space="preserve">Banks </w:t>
            </w:r>
          </w:p>
        </w:tc>
        <w:tc>
          <w:tcPr>
            <w:tcW w:w="1825" w:type="dxa"/>
            <w:tcBorders>
              <w:top w:val="single" w:sz="6" w:space="0" w:color="000000"/>
              <w:left w:val="single" w:sz="4" w:space="0" w:color="auto"/>
              <w:bottom w:val="single" w:sz="6" w:space="0" w:color="000000"/>
              <w:right w:val="single" w:sz="4" w:space="0" w:color="auto"/>
            </w:tcBorders>
          </w:tcPr>
          <w:p w14:paraId="0944CAB3" w14:textId="77777777" w:rsidR="001D4F84" w:rsidRPr="00D07ABD" w:rsidRDefault="00A724BF" w:rsidP="004466E8">
            <w:pPr>
              <w:pStyle w:val="BodyText2"/>
              <w:spacing w:after="120"/>
              <w:jc w:val="center"/>
              <w:rPr>
                <w:rFonts w:ascii="Arial" w:hAnsi="Arial" w:cs="Arial"/>
                <w:b/>
                <w:iCs/>
                <w:szCs w:val="22"/>
              </w:rPr>
            </w:pPr>
            <w:r>
              <w:rPr>
                <w:rFonts w:ascii="Arial" w:hAnsi="Arial" w:cs="Arial"/>
                <w:b/>
                <w:iCs/>
                <w:szCs w:val="22"/>
              </w:rPr>
              <w:t>O</w:t>
            </w:r>
            <w:r w:rsidRPr="00D07ABD">
              <w:rPr>
                <w:rFonts w:ascii="Arial" w:hAnsi="Arial" w:cs="Arial"/>
                <w:b/>
                <w:iCs/>
                <w:szCs w:val="22"/>
              </w:rPr>
              <w:t>range</w:t>
            </w:r>
          </w:p>
        </w:tc>
        <w:tc>
          <w:tcPr>
            <w:tcW w:w="1263" w:type="dxa"/>
            <w:tcBorders>
              <w:top w:val="single" w:sz="6" w:space="0" w:color="000000"/>
              <w:left w:val="single" w:sz="6" w:space="0" w:color="000000"/>
              <w:bottom w:val="single" w:sz="6" w:space="0" w:color="000000"/>
              <w:right w:val="single" w:sz="6" w:space="0" w:color="000000"/>
            </w:tcBorders>
          </w:tcPr>
          <w:p w14:paraId="2F20E210"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w:t>
            </w:r>
            <w:r w:rsidR="00966E39">
              <w:rPr>
                <w:rFonts w:ascii="Arial" w:hAnsi="Arial" w:cs="Arial"/>
                <w:b/>
                <w:iCs/>
                <w:szCs w:val="22"/>
              </w:rPr>
              <w:t>5</w:t>
            </w:r>
            <w:r w:rsidRPr="00D07ABD">
              <w:rPr>
                <w:rFonts w:ascii="Arial" w:hAnsi="Arial" w:cs="Arial"/>
                <w:b/>
                <w:iCs/>
                <w:szCs w:val="22"/>
              </w:rPr>
              <w:t>m</w:t>
            </w:r>
          </w:p>
        </w:tc>
        <w:tc>
          <w:tcPr>
            <w:tcW w:w="1524" w:type="dxa"/>
            <w:tcBorders>
              <w:top w:val="single" w:sz="6" w:space="0" w:color="000000"/>
              <w:left w:val="single" w:sz="6" w:space="0" w:color="000000"/>
              <w:bottom w:val="single" w:sz="6" w:space="0" w:color="000000"/>
              <w:right w:val="single" w:sz="6" w:space="0" w:color="000000"/>
            </w:tcBorders>
          </w:tcPr>
          <w:p w14:paraId="1B8D39A9"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w:t>
            </w:r>
            <w:r w:rsidR="00966E39">
              <w:rPr>
                <w:rFonts w:ascii="Arial" w:hAnsi="Arial" w:cs="Arial"/>
                <w:b/>
                <w:iCs/>
                <w:szCs w:val="22"/>
              </w:rPr>
              <w:t>5</w:t>
            </w:r>
            <w:r w:rsidRPr="00D07ABD">
              <w:rPr>
                <w:rFonts w:ascii="Arial" w:hAnsi="Arial" w:cs="Arial"/>
                <w:b/>
                <w:iCs/>
                <w:szCs w:val="22"/>
              </w:rPr>
              <w:t>m</w:t>
            </w:r>
          </w:p>
        </w:tc>
        <w:tc>
          <w:tcPr>
            <w:tcW w:w="1134" w:type="dxa"/>
            <w:tcBorders>
              <w:top w:val="single" w:sz="6" w:space="0" w:color="000000"/>
              <w:left w:val="single" w:sz="6" w:space="0" w:color="000000"/>
              <w:bottom w:val="single" w:sz="6" w:space="0" w:color="000000"/>
              <w:right w:val="single" w:sz="4" w:space="0" w:color="auto"/>
            </w:tcBorders>
          </w:tcPr>
          <w:p w14:paraId="13E9C491"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1</w:t>
            </w:r>
            <w:r w:rsidR="002C47B4">
              <w:rPr>
                <w:rFonts w:ascii="Arial" w:hAnsi="Arial" w:cs="Arial"/>
                <w:b/>
                <w:iCs/>
                <w:szCs w:val="22"/>
              </w:rPr>
              <w:t xml:space="preserve"> </w:t>
            </w:r>
            <w:proofErr w:type="spellStart"/>
            <w:r w:rsidRPr="00D07ABD">
              <w:rPr>
                <w:rFonts w:ascii="Arial" w:hAnsi="Arial" w:cs="Arial"/>
                <w:b/>
                <w:iCs/>
                <w:szCs w:val="22"/>
              </w:rPr>
              <w:t>yr</w:t>
            </w:r>
            <w:proofErr w:type="spellEnd"/>
          </w:p>
        </w:tc>
      </w:tr>
      <w:tr w:rsidR="002252C6" w14:paraId="46B0C2C7" w14:textId="77777777" w:rsidTr="004466E8">
        <w:trPr>
          <w:trHeight w:val="330"/>
          <w:tblCellSpacing w:w="0" w:type="dxa"/>
        </w:trPr>
        <w:tc>
          <w:tcPr>
            <w:tcW w:w="3149" w:type="dxa"/>
            <w:tcBorders>
              <w:top w:val="single" w:sz="6" w:space="0" w:color="000000"/>
              <w:left w:val="single" w:sz="4" w:space="0" w:color="auto"/>
              <w:bottom w:val="single" w:sz="6" w:space="0" w:color="000000"/>
              <w:right w:val="single" w:sz="6" w:space="0" w:color="000000"/>
            </w:tcBorders>
          </w:tcPr>
          <w:p w14:paraId="0655AD49" w14:textId="77777777" w:rsidR="001D4F84" w:rsidRPr="00D07ABD" w:rsidRDefault="00A724BF" w:rsidP="004466E8">
            <w:pPr>
              <w:pStyle w:val="BodyText2"/>
              <w:spacing w:after="120"/>
              <w:rPr>
                <w:rFonts w:ascii="Arial" w:hAnsi="Arial" w:cs="Arial"/>
                <w:b/>
                <w:iCs/>
                <w:szCs w:val="22"/>
              </w:rPr>
            </w:pPr>
            <w:r w:rsidRPr="00D07ABD">
              <w:rPr>
                <w:rFonts w:ascii="Arial" w:hAnsi="Arial" w:cs="Arial"/>
                <w:b/>
                <w:iCs/>
                <w:szCs w:val="22"/>
              </w:rPr>
              <w:t>Banks – part nationalised</w:t>
            </w:r>
          </w:p>
        </w:tc>
        <w:tc>
          <w:tcPr>
            <w:tcW w:w="1825" w:type="dxa"/>
            <w:tcBorders>
              <w:top w:val="single" w:sz="6" w:space="0" w:color="000000"/>
              <w:left w:val="single" w:sz="4" w:space="0" w:color="auto"/>
              <w:bottom w:val="single" w:sz="6" w:space="0" w:color="000000"/>
              <w:right w:val="single" w:sz="4" w:space="0" w:color="auto"/>
            </w:tcBorders>
          </w:tcPr>
          <w:p w14:paraId="1FE5767B" w14:textId="77777777" w:rsidR="001D4F84" w:rsidRPr="00D07ABD" w:rsidRDefault="00A724BF" w:rsidP="004466E8">
            <w:pPr>
              <w:pStyle w:val="BodyText2"/>
              <w:spacing w:after="120"/>
              <w:jc w:val="center"/>
              <w:rPr>
                <w:rFonts w:ascii="Arial" w:hAnsi="Arial" w:cs="Arial"/>
                <w:b/>
                <w:iCs/>
                <w:szCs w:val="22"/>
              </w:rPr>
            </w:pPr>
            <w:r>
              <w:rPr>
                <w:rFonts w:ascii="Arial" w:hAnsi="Arial" w:cs="Arial"/>
                <w:b/>
                <w:iCs/>
                <w:szCs w:val="22"/>
              </w:rPr>
              <w:t>B</w:t>
            </w:r>
            <w:r w:rsidRPr="00D07ABD">
              <w:rPr>
                <w:rFonts w:ascii="Arial" w:hAnsi="Arial" w:cs="Arial"/>
                <w:b/>
                <w:iCs/>
                <w:szCs w:val="22"/>
              </w:rPr>
              <w:t>lue</w:t>
            </w:r>
          </w:p>
        </w:tc>
        <w:tc>
          <w:tcPr>
            <w:tcW w:w="1263" w:type="dxa"/>
            <w:tcBorders>
              <w:top w:val="single" w:sz="6" w:space="0" w:color="000000"/>
              <w:left w:val="single" w:sz="6" w:space="0" w:color="000000"/>
              <w:bottom w:val="single" w:sz="6" w:space="0" w:color="000000"/>
              <w:right w:val="single" w:sz="6" w:space="0" w:color="000000"/>
            </w:tcBorders>
          </w:tcPr>
          <w:p w14:paraId="40FEFF8F"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w:t>
            </w:r>
            <w:r w:rsidR="00966E39">
              <w:rPr>
                <w:rFonts w:ascii="Arial" w:hAnsi="Arial" w:cs="Arial"/>
                <w:b/>
                <w:iCs/>
                <w:szCs w:val="22"/>
              </w:rPr>
              <w:t>5</w:t>
            </w:r>
            <w:r w:rsidRPr="00D07ABD">
              <w:rPr>
                <w:rFonts w:ascii="Arial" w:hAnsi="Arial" w:cs="Arial"/>
                <w:b/>
                <w:iCs/>
                <w:szCs w:val="22"/>
              </w:rPr>
              <w:t>m</w:t>
            </w:r>
          </w:p>
        </w:tc>
        <w:tc>
          <w:tcPr>
            <w:tcW w:w="1524" w:type="dxa"/>
            <w:tcBorders>
              <w:top w:val="single" w:sz="6" w:space="0" w:color="000000"/>
              <w:left w:val="single" w:sz="6" w:space="0" w:color="000000"/>
              <w:bottom w:val="single" w:sz="6" w:space="0" w:color="000000"/>
              <w:right w:val="single" w:sz="6" w:space="0" w:color="000000"/>
            </w:tcBorders>
          </w:tcPr>
          <w:p w14:paraId="119EF79B"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w:t>
            </w:r>
            <w:r w:rsidR="00966E39">
              <w:rPr>
                <w:rFonts w:ascii="Arial" w:hAnsi="Arial" w:cs="Arial"/>
                <w:b/>
                <w:iCs/>
                <w:szCs w:val="22"/>
              </w:rPr>
              <w:t>5</w:t>
            </w:r>
            <w:r w:rsidRPr="00D07ABD">
              <w:rPr>
                <w:rFonts w:ascii="Arial" w:hAnsi="Arial" w:cs="Arial"/>
                <w:b/>
                <w:iCs/>
                <w:szCs w:val="22"/>
              </w:rPr>
              <w:t>m</w:t>
            </w:r>
          </w:p>
        </w:tc>
        <w:tc>
          <w:tcPr>
            <w:tcW w:w="1134" w:type="dxa"/>
            <w:tcBorders>
              <w:top w:val="single" w:sz="6" w:space="0" w:color="000000"/>
              <w:left w:val="single" w:sz="6" w:space="0" w:color="000000"/>
              <w:bottom w:val="single" w:sz="6" w:space="0" w:color="000000"/>
              <w:right w:val="single" w:sz="4" w:space="0" w:color="auto"/>
            </w:tcBorders>
          </w:tcPr>
          <w:p w14:paraId="1A8DA2F1"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1</w:t>
            </w:r>
            <w:r w:rsidR="002C47B4">
              <w:rPr>
                <w:rFonts w:ascii="Arial" w:hAnsi="Arial" w:cs="Arial"/>
                <w:b/>
                <w:iCs/>
                <w:szCs w:val="22"/>
              </w:rPr>
              <w:t xml:space="preserve"> </w:t>
            </w:r>
            <w:proofErr w:type="spellStart"/>
            <w:r w:rsidRPr="00D07ABD">
              <w:rPr>
                <w:rFonts w:ascii="Arial" w:hAnsi="Arial" w:cs="Arial"/>
                <w:b/>
                <w:iCs/>
                <w:szCs w:val="22"/>
              </w:rPr>
              <w:t>yr</w:t>
            </w:r>
            <w:proofErr w:type="spellEnd"/>
          </w:p>
        </w:tc>
      </w:tr>
      <w:tr w:rsidR="002252C6" w14:paraId="755E5CE4" w14:textId="77777777" w:rsidTr="004466E8">
        <w:trPr>
          <w:trHeight w:val="330"/>
          <w:tblCellSpacing w:w="0" w:type="dxa"/>
        </w:trPr>
        <w:tc>
          <w:tcPr>
            <w:tcW w:w="3149" w:type="dxa"/>
            <w:tcBorders>
              <w:top w:val="single" w:sz="6" w:space="0" w:color="000000"/>
              <w:left w:val="single" w:sz="4" w:space="0" w:color="auto"/>
              <w:bottom w:val="single" w:sz="6" w:space="0" w:color="000000"/>
              <w:right w:val="single" w:sz="6" w:space="0" w:color="000000"/>
            </w:tcBorders>
          </w:tcPr>
          <w:p w14:paraId="062D3439" w14:textId="77777777" w:rsidR="001D4F84" w:rsidRPr="00D07ABD" w:rsidRDefault="00A724BF" w:rsidP="004466E8">
            <w:pPr>
              <w:pStyle w:val="BodyText2"/>
              <w:spacing w:after="120"/>
              <w:rPr>
                <w:rFonts w:ascii="Arial" w:hAnsi="Arial" w:cs="Arial"/>
                <w:b/>
                <w:iCs/>
                <w:szCs w:val="22"/>
              </w:rPr>
            </w:pPr>
            <w:r w:rsidRPr="00D07ABD">
              <w:rPr>
                <w:rFonts w:ascii="Arial" w:hAnsi="Arial" w:cs="Arial"/>
                <w:b/>
                <w:iCs/>
                <w:szCs w:val="22"/>
              </w:rPr>
              <w:t xml:space="preserve">Banks </w:t>
            </w:r>
          </w:p>
        </w:tc>
        <w:tc>
          <w:tcPr>
            <w:tcW w:w="1825" w:type="dxa"/>
            <w:tcBorders>
              <w:top w:val="single" w:sz="6" w:space="0" w:color="000000"/>
              <w:left w:val="single" w:sz="4" w:space="0" w:color="auto"/>
              <w:bottom w:val="single" w:sz="6" w:space="0" w:color="000000"/>
              <w:right w:val="single" w:sz="4" w:space="0" w:color="auto"/>
            </w:tcBorders>
          </w:tcPr>
          <w:p w14:paraId="0F391FB7" w14:textId="77777777" w:rsidR="001D4F84" w:rsidRPr="00D07ABD" w:rsidRDefault="00A724BF" w:rsidP="004466E8">
            <w:pPr>
              <w:pStyle w:val="BodyText2"/>
              <w:spacing w:after="120"/>
              <w:jc w:val="center"/>
              <w:rPr>
                <w:rFonts w:ascii="Arial" w:hAnsi="Arial" w:cs="Arial"/>
                <w:b/>
                <w:iCs/>
                <w:szCs w:val="22"/>
              </w:rPr>
            </w:pPr>
            <w:r>
              <w:rPr>
                <w:rFonts w:ascii="Arial" w:hAnsi="Arial" w:cs="Arial"/>
                <w:b/>
                <w:iCs/>
                <w:szCs w:val="22"/>
              </w:rPr>
              <w:t>R</w:t>
            </w:r>
            <w:r w:rsidRPr="00D07ABD">
              <w:rPr>
                <w:rFonts w:ascii="Arial" w:hAnsi="Arial" w:cs="Arial"/>
                <w:b/>
                <w:iCs/>
                <w:szCs w:val="22"/>
              </w:rPr>
              <w:t>ed</w:t>
            </w:r>
          </w:p>
        </w:tc>
        <w:tc>
          <w:tcPr>
            <w:tcW w:w="1263" w:type="dxa"/>
            <w:tcBorders>
              <w:top w:val="single" w:sz="6" w:space="0" w:color="000000"/>
              <w:left w:val="single" w:sz="6" w:space="0" w:color="000000"/>
              <w:bottom w:val="single" w:sz="6" w:space="0" w:color="000000"/>
              <w:right w:val="single" w:sz="6" w:space="0" w:color="000000"/>
            </w:tcBorders>
          </w:tcPr>
          <w:p w14:paraId="1D825B04"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w:t>
            </w:r>
            <w:r w:rsidR="00966E39">
              <w:rPr>
                <w:rFonts w:ascii="Arial" w:hAnsi="Arial" w:cs="Arial"/>
                <w:b/>
                <w:iCs/>
                <w:szCs w:val="22"/>
              </w:rPr>
              <w:t>5</w:t>
            </w:r>
            <w:r w:rsidRPr="00D07ABD">
              <w:rPr>
                <w:rFonts w:ascii="Arial" w:hAnsi="Arial" w:cs="Arial"/>
                <w:b/>
                <w:iCs/>
                <w:szCs w:val="22"/>
              </w:rPr>
              <w:t>m</w:t>
            </w:r>
          </w:p>
        </w:tc>
        <w:tc>
          <w:tcPr>
            <w:tcW w:w="1524" w:type="dxa"/>
            <w:tcBorders>
              <w:top w:val="single" w:sz="6" w:space="0" w:color="000000"/>
              <w:left w:val="single" w:sz="6" w:space="0" w:color="000000"/>
              <w:bottom w:val="single" w:sz="6" w:space="0" w:color="000000"/>
              <w:right w:val="single" w:sz="6" w:space="0" w:color="000000"/>
            </w:tcBorders>
          </w:tcPr>
          <w:p w14:paraId="2CEA7063"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w:t>
            </w:r>
            <w:r w:rsidR="00966E39">
              <w:rPr>
                <w:rFonts w:ascii="Arial" w:hAnsi="Arial" w:cs="Arial"/>
                <w:b/>
                <w:iCs/>
                <w:szCs w:val="22"/>
              </w:rPr>
              <w:t>5</w:t>
            </w:r>
            <w:r w:rsidRPr="00D07ABD">
              <w:rPr>
                <w:rFonts w:ascii="Arial" w:hAnsi="Arial" w:cs="Arial"/>
                <w:b/>
                <w:iCs/>
                <w:szCs w:val="22"/>
              </w:rPr>
              <w:t>m</w:t>
            </w:r>
          </w:p>
        </w:tc>
        <w:tc>
          <w:tcPr>
            <w:tcW w:w="1134" w:type="dxa"/>
            <w:tcBorders>
              <w:top w:val="single" w:sz="6" w:space="0" w:color="000000"/>
              <w:left w:val="single" w:sz="6" w:space="0" w:color="000000"/>
              <w:bottom w:val="single" w:sz="6" w:space="0" w:color="000000"/>
              <w:right w:val="single" w:sz="4" w:space="0" w:color="auto"/>
            </w:tcBorders>
          </w:tcPr>
          <w:p w14:paraId="38E647D4"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6</w:t>
            </w:r>
            <w:r w:rsidR="002C47B4">
              <w:rPr>
                <w:rFonts w:ascii="Arial" w:hAnsi="Arial" w:cs="Arial"/>
                <w:b/>
                <w:iCs/>
                <w:szCs w:val="22"/>
              </w:rPr>
              <w:t xml:space="preserve"> </w:t>
            </w:r>
            <w:proofErr w:type="spellStart"/>
            <w:r w:rsidRPr="00D07ABD">
              <w:rPr>
                <w:rFonts w:ascii="Arial" w:hAnsi="Arial" w:cs="Arial"/>
                <w:b/>
                <w:iCs/>
                <w:szCs w:val="22"/>
              </w:rPr>
              <w:t>mths</w:t>
            </w:r>
            <w:proofErr w:type="spellEnd"/>
          </w:p>
        </w:tc>
      </w:tr>
      <w:tr w:rsidR="002252C6" w14:paraId="346F4B48" w14:textId="77777777" w:rsidTr="004466E8">
        <w:trPr>
          <w:trHeight w:val="330"/>
          <w:tblCellSpacing w:w="0" w:type="dxa"/>
        </w:trPr>
        <w:tc>
          <w:tcPr>
            <w:tcW w:w="3149" w:type="dxa"/>
            <w:tcBorders>
              <w:top w:val="single" w:sz="6" w:space="0" w:color="000000"/>
              <w:left w:val="single" w:sz="4" w:space="0" w:color="auto"/>
              <w:bottom w:val="single" w:sz="6" w:space="0" w:color="000000"/>
              <w:right w:val="single" w:sz="6" w:space="0" w:color="000000"/>
            </w:tcBorders>
          </w:tcPr>
          <w:p w14:paraId="401E7E9B" w14:textId="77777777" w:rsidR="001D4F84" w:rsidRPr="00D07ABD" w:rsidRDefault="00A724BF" w:rsidP="004466E8">
            <w:pPr>
              <w:pStyle w:val="BodyText2"/>
              <w:spacing w:after="120"/>
              <w:rPr>
                <w:rFonts w:ascii="Arial" w:hAnsi="Arial" w:cs="Arial"/>
                <w:b/>
                <w:iCs/>
                <w:szCs w:val="22"/>
              </w:rPr>
            </w:pPr>
            <w:r w:rsidRPr="00D07ABD">
              <w:rPr>
                <w:rFonts w:ascii="Arial" w:hAnsi="Arial" w:cs="Arial"/>
                <w:b/>
                <w:iCs/>
                <w:szCs w:val="22"/>
              </w:rPr>
              <w:t xml:space="preserve">Banks </w:t>
            </w:r>
          </w:p>
        </w:tc>
        <w:tc>
          <w:tcPr>
            <w:tcW w:w="1825" w:type="dxa"/>
            <w:tcBorders>
              <w:top w:val="single" w:sz="6" w:space="0" w:color="000000"/>
              <w:left w:val="single" w:sz="4" w:space="0" w:color="auto"/>
              <w:bottom w:val="single" w:sz="6" w:space="0" w:color="000000"/>
              <w:right w:val="single" w:sz="4" w:space="0" w:color="auto"/>
            </w:tcBorders>
          </w:tcPr>
          <w:p w14:paraId="6CEBC9D0" w14:textId="77777777" w:rsidR="001D4F84" w:rsidRPr="00D07ABD" w:rsidRDefault="00A724BF" w:rsidP="004466E8">
            <w:pPr>
              <w:pStyle w:val="BodyText2"/>
              <w:spacing w:after="120"/>
              <w:jc w:val="center"/>
              <w:rPr>
                <w:rFonts w:ascii="Arial" w:hAnsi="Arial" w:cs="Arial"/>
                <w:b/>
                <w:iCs/>
                <w:szCs w:val="22"/>
              </w:rPr>
            </w:pPr>
            <w:r>
              <w:rPr>
                <w:rFonts w:ascii="Arial" w:hAnsi="Arial" w:cs="Arial"/>
                <w:b/>
                <w:iCs/>
                <w:szCs w:val="22"/>
              </w:rPr>
              <w:t>G</w:t>
            </w:r>
            <w:r w:rsidRPr="00D07ABD">
              <w:rPr>
                <w:rFonts w:ascii="Arial" w:hAnsi="Arial" w:cs="Arial"/>
                <w:b/>
                <w:iCs/>
                <w:szCs w:val="22"/>
              </w:rPr>
              <w:t>reen</w:t>
            </w:r>
          </w:p>
        </w:tc>
        <w:tc>
          <w:tcPr>
            <w:tcW w:w="1263" w:type="dxa"/>
            <w:tcBorders>
              <w:top w:val="single" w:sz="6" w:space="0" w:color="000000"/>
              <w:left w:val="single" w:sz="6" w:space="0" w:color="000000"/>
              <w:bottom w:val="single" w:sz="6" w:space="0" w:color="000000"/>
              <w:right w:val="single" w:sz="6" w:space="0" w:color="000000"/>
            </w:tcBorders>
          </w:tcPr>
          <w:p w14:paraId="2CAA11AC"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w:t>
            </w:r>
            <w:r w:rsidR="00966E39">
              <w:rPr>
                <w:rFonts w:ascii="Arial" w:hAnsi="Arial" w:cs="Arial"/>
                <w:b/>
                <w:iCs/>
                <w:szCs w:val="22"/>
              </w:rPr>
              <w:t>5</w:t>
            </w:r>
            <w:r w:rsidRPr="00D07ABD">
              <w:rPr>
                <w:rFonts w:ascii="Arial" w:hAnsi="Arial" w:cs="Arial"/>
                <w:b/>
                <w:iCs/>
                <w:szCs w:val="22"/>
              </w:rPr>
              <w:t>m</w:t>
            </w:r>
          </w:p>
        </w:tc>
        <w:tc>
          <w:tcPr>
            <w:tcW w:w="1524" w:type="dxa"/>
            <w:tcBorders>
              <w:top w:val="single" w:sz="6" w:space="0" w:color="000000"/>
              <w:left w:val="single" w:sz="6" w:space="0" w:color="000000"/>
              <w:bottom w:val="single" w:sz="6" w:space="0" w:color="000000"/>
              <w:right w:val="single" w:sz="6" w:space="0" w:color="000000"/>
            </w:tcBorders>
          </w:tcPr>
          <w:p w14:paraId="1374B68C"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w:t>
            </w:r>
            <w:r w:rsidR="00966E39">
              <w:rPr>
                <w:rFonts w:ascii="Arial" w:hAnsi="Arial" w:cs="Arial"/>
                <w:b/>
                <w:iCs/>
                <w:szCs w:val="22"/>
              </w:rPr>
              <w:t>5</w:t>
            </w:r>
            <w:r w:rsidRPr="00D07ABD">
              <w:rPr>
                <w:rFonts w:ascii="Arial" w:hAnsi="Arial" w:cs="Arial"/>
                <w:b/>
                <w:iCs/>
                <w:szCs w:val="22"/>
              </w:rPr>
              <w:t>m</w:t>
            </w:r>
          </w:p>
        </w:tc>
        <w:tc>
          <w:tcPr>
            <w:tcW w:w="1134" w:type="dxa"/>
            <w:tcBorders>
              <w:top w:val="single" w:sz="6" w:space="0" w:color="000000"/>
              <w:left w:val="single" w:sz="6" w:space="0" w:color="000000"/>
              <w:bottom w:val="single" w:sz="6" w:space="0" w:color="000000"/>
              <w:right w:val="single" w:sz="4" w:space="0" w:color="auto"/>
            </w:tcBorders>
          </w:tcPr>
          <w:p w14:paraId="7F8BE223"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100 days</w:t>
            </w:r>
          </w:p>
        </w:tc>
      </w:tr>
      <w:tr w:rsidR="002252C6" w14:paraId="00AE4DFF" w14:textId="77777777" w:rsidTr="004466E8">
        <w:trPr>
          <w:trHeight w:val="330"/>
          <w:tblCellSpacing w:w="0" w:type="dxa"/>
        </w:trPr>
        <w:tc>
          <w:tcPr>
            <w:tcW w:w="3149" w:type="dxa"/>
            <w:tcBorders>
              <w:top w:val="single" w:sz="6" w:space="0" w:color="000000"/>
              <w:left w:val="single" w:sz="4" w:space="0" w:color="auto"/>
              <w:bottom w:val="single" w:sz="6" w:space="0" w:color="000000"/>
              <w:right w:val="single" w:sz="6" w:space="0" w:color="000000"/>
            </w:tcBorders>
          </w:tcPr>
          <w:p w14:paraId="2CA7D8A8" w14:textId="77777777" w:rsidR="001D4F84" w:rsidRPr="00D07ABD" w:rsidRDefault="00A724BF" w:rsidP="004466E8">
            <w:pPr>
              <w:pStyle w:val="BodyText2"/>
              <w:spacing w:after="120"/>
              <w:rPr>
                <w:rFonts w:ascii="Arial" w:hAnsi="Arial" w:cs="Arial"/>
                <w:b/>
                <w:iCs/>
                <w:szCs w:val="22"/>
              </w:rPr>
            </w:pPr>
            <w:r w:rsidRPr="00D07ABD">
              <w:rPr>
                <w:rFonts w:ascii="Arial" w:hAnsi="Arial" w:cs="Arial"/>
                <w:b/>
                <w:iCs/>
                <w:szCs w:val="22"/>
              </w:rPr>
              <w:t xml:space="preserve">Banks </w:t>
            </w:r>
          </w:p>
        </w:tc>
        <w:tc>
          <w:tcPr>
            <w:tcW w:w="1825" w:type="dxa"/>
            <w:tcBorders>
              <w:top w:val="single" w:sz="4" w:space="0" w:color="auto"/>
              <w:left w:val="single" w:sz="4" w:space="0" w:color="auto"/>
              <w:bottom w:val="single" w:sz="6" w:space="0" w:color="000000"/>
              <w:right w:val="single" w:sz="4" w:space="0" w:color="auto"/>
            </w:tcBorders>
          </w:tcPr>
          <w:p w14:paraId="3E2F7428"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 xml:space="preserve">No </w:t>
            </w:r>
            <w:r>
              <w:rPr>
                <w:rFonts w:ascii="Arial" w:hAnsi="Arial" w:cs="Arial"/>
                <w:b/>
                <w:iCs/>
                <w:szCs w:val="22"/>
              </w:rPr>
              <w:t>C</w:t>
            </w:r>
            <w:r w:rsidRPr="00D07ABD">
              <w:rPr>
                <w:rFonts w:ascii="Arial" w:hAnsi="Arial" w:cs="Arial"/>
                <w:b/>
                <w:iCs/>
                <w:szCs w:val="22"/>
              </w:rPr>
              <w:t>olour</w:t>
            </w:r>
          </w:p>
        </w:tc>
        <w:tc>
          <w:tcPr>
            <w:tcW w:w="1263" w:type="dxa"/>
            <w:tcBorders>
              <w:top w:val="single" w:sz="4" w:space="0" w:color="auto"/>
              <w:left w:val="single" w:sz="6" w:space="0" w:color="000000"/>
              <w:bottom w:val="single" w:sz="6" w:space="0" w:color="000000"/>
              <w:right w:val="single" w:sz="4" w:space="0" w:color="auto"/>
            </w:tcBorders>
          </w:tcPr>
          <w:p w14:paraId="3D87F52D"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Not to be used</w:t>
            </w:r>
          </w:p>
        </w:tc>
        <w:tc>
          <w:tcPr>
            <w:tcW w:w="1524" w:type="dxa"/>
            <w:tcBorders>
              <w:top w:val="single" w:sz="6" w:space="0" w:color="000000"/>
              <w:left w:val="single" w:sz="6" w:space="0" w:color="000000"/>
              <w:bottom w:val="single" w:sz="6" w:space="0" w:color="000000"/>
              <w:right w:val="single" w:sz="6" w:space="0" w:color="000000"/>
            </w:tcBorders>
          </w:tcPr>
          <w:p w14:paraId="23D5A69A"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Not to be used</w:t>
            </w:r>
          </w:p>
        </w:tc>
        <w:tc>
          <w:tcPr>
            <w:tcW w:w="1134" w:type="dxa"/>
            <w:tcBorders>
              <w:top w:val="single" w:sz="6" w:space="0" w:color="000000"/>
              <w:left w:val="single" w:sz="6" w:space="0" w:color="000000"/>
              <w:bottom w:val="single" w:sz="6" w:space="0" w:color="000000"/>
              <w:right w:val="single" w:sz="4" w:space="0" w:color="auto"/>
            </w:tcBorders>
          </w:tcPr>
          <w:p w14:paraId="566520F5" w14:textId="77777777" w:rsidR="001D4F84" w:rsidRPr="00D07ABD" w:rsidRDefault="001D4F84" w:rsidP="004466E8">
            <w:pPr>
              <w:pStyle w:val="BodyText2"/>
              <w:spacing w:after="120"/>
              <w:jc w:val="center"/>
              <w:rPr>
                <w:rFonts w:ascii="Arial" w:hAnsi="Arial" w:cs="Arial"/>
                <w:b/>
                <w:iCs/>
                <w:szCs w:val="22"/>
              </w:rPr>
            </w:pPr>
          </w:p>
        </w:tc>
      </w:tr>
      <w:tr w:rsidR="002252C6" w14:paraId="43E13872" w14:textId="77777777" w:rsidTr="004466E8">
        <w:trPr>
          <w:trHeight w:val="330"/>
          <w:tblCellSpacing w:w="0" w:type="dxa"/>
        </w:trPr>
        <w:tc>
          <w:tcPr>
            <w:tcW w:w="3149" w:type="dxa"/>
            <w:tcBorders>
              <w:top w:val="single" w:sz="6" w:space="0" w:color="000000"/>
              <w:left w:val="single" w:sz="4" w:space="0" w:color="auto"/>
              <w:bottom w:val="single" w:sz="6" w:space="0" w:color="000000"/>
              <w:right w:val="single" w:sz="6" w:space="0" w:color="000000"/>
            </w:tcBorders>
          </w:tcPr>
          <w:p w14:paraId="39F2CDD5" w14:textId="77777777" w:rsidR="001D4F84" w:rsidRPr="00D07ABD" w:rsidRDefault="00A724BF" w:rsidP="004466E8">
            <w:pPr>
              <w:pStyle w:val="BodyText2"/>
              <w:spacing w:after="120"/>
              <w:rPr>
                <w:rFonts w:ascii="Arial" w:hAnsi="Arial" w:cs="Arial"/>
                <w:b/>
                <w:iCs/>
                <w:szCs w:val="22"/>
              </w:rPr>
            </w:pPr>
            <w:r w:rsidRPr="00D07ABD">
              <w:rPr>
                <w:rFonts w:ascii="Arial" w:hAnsi="Arial" w:cs="Arial"/>
                <w:b/>
                <w:iCs/>
                <w:szCs w:val="22"/>
              </w:rPr>
              <w:t xml:space="preserve">Limit 3 category – </w:t>
            </w:r>
            <w:r>
              <w:rPr>
                <w:rFonts w:ascii="Arial" w:hAnsi="Arial" w:cs="Arial"/>
                <w:b/>
                <w:iCs/>
                <w:szCs w:val="22"/>
              </w:rPr>
              <w:t>Authority</w:t>
            </w:r>
            <w:r w:rsidRPr="00D07ABD">
              <w:rPr>
                <w:rFonts w:ascii="Arial" w:hAnsi="Arial" w:cs="Arial"/>
                <w:b/>
                <w:iCs/>
                <w:szCs w:val="22"/>
              </w:rPr>
              <w:t>’s banker (where “No Colour”)</w:t>
            </w:r>
          </w:p>
        </w:tc>
        <w:tc>
          <w:tcPr>
            <w:tcW w:w="1825" w:type="dxa"/>
            <w:tcBorders>
              <w:top w:val="single" w:sz="6" w:space="0" w:color="000000"/>
              <w:left w:val="single" w:sz="4" w:space="0" w:color="auto"/>
              <w:bottom w:val="single" w:sz="4" w:space="0" w:color="auto"/>
              <w:right w:val="single" w:sz="4" w:space="0" w:color="auto"/>
            </w:tcBorders>
          </w:tcPr>
          <w:p w14:paraId="32CF45F0" w14:textId="77777777" w:rsidR="001D4F84" w:rsidRPr="00D07ABD" w:rsidRDefault="00A724BF" w:rsidP="004466E8">
            <w:pPr>
              <w:pStyle w:val="BodyText2"/>
              <w:spacing w:after="120"/>
              <w:jc w:val="center"/>
              <w:rPr>
                <w:rFonts w:ascii="Arial" w:hAnsi="Arial" w:cs="Arial"/>
                <w:b/>
                <w:iCs/>
                <w:szCs w:val="22"/>
              </w:rPr>
            </w:pPr>
            <w:proofErr w:type="spellStart"/>
            <w:r>
              <w:rPr>
                <w:rFonts w:ascii="Arial" w:hAnsi="Arial" w:cs="Arial"/>
                <w:b/>
                <w:iCs/>
                <w:szCs w:val="22"/>
              </w:rPr>
              <w:t>Natwest</w:t>
            </w:r>
            <w:proofErr w:type="spellEnd"/>
          </w:p>
        </w:tc>
        <w:tc>
          <w:tcPr>
            <w:tcW w:w="1263" w:type="dxa"/>
            <w:tcBorders>
              <w:top w:val="single" w:sz="6" w:space="0" w:color="000000"/>
              <w:left w:val="single" w:sz="6" w:space="0" w:color="000000"/>
              <w:bottom w:val="single" w:sz="4" w:space="0" w:color="auto"/>
              <w:right w:val="single" w:sz="4" w:space="0" w:color="auto"/>
            </w:tcBorders>
          </w:tcPr>
          <w:p w14:paraId="54BADA28"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w:t>
            </w:r>
            <w:r w:rsidR="00966E39">
              <w:rPr>
                <w:rFonts w:ascii="Arial" w:hAnsi="Arial" w:cs="Arial"/>
                <w:b/>
                <w:iCs/>
                <w:szCs w:val="22"/>
              </w:rPr>
              <w:t>5</w:t>
            </w:r>
            <w:r w:rsidRPr="00D07ABD">
              <w:rPr>
                <w:rFonts w:ascii="Arial" w:hAnsi="Arial" w:cs="Arial"/>
                <w:b/>
                <w:iCs/>
                <w:szCs w:val="22"/>
              </w:rPr>
              <w:t>m</w:t>
            </w:r>
          </w:p>
        </w:tc>
        <w:tc>
          <w:tcPr>
            <w:tcW w:w="1524" w:type="dxa"/>
            <w:tcBorders>
              <w:top w:val="single" w:sz="6" w:space="0" w:color="000000"/>
              <w:left w:val="single" w:sz="6" w:space="0" w:color="000000"/>
              <w:bottom w:val="single" w:sz="6" w:space="0" w:color="000000"/>
              <w:right w:val="single" w:sz="6" w:space="0" w:color="000000"/>
            </w:tcBorders>
          </w:tcPr>
          <w:p w14:paraId="1F5025CC"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w:t>
            </w:r>
            <w:r w:rsidR="00966E39">
              <w:rPr>
                <w:rFonts w:ascii="Arial" w:hAnsi="Arial" w:cs="Arial"/>
                <w:b/>
                <w:iCs/>
                <w:szCs w:val="22"/>
              </w:rPr>
              <w:t>5</w:t>
            </w:r>
            <w:r w:rsidRPr="00D07ABD">
              <w:rPr>
                <w:rFonts w:ascii="Arial" w:hAnsi="Arial" w:cs="Arial"/>
                <w:b/>
                <w:iCs/>
                <w:szCs w:val="22"/>
              </w:rPr>
              <w:t>m</w:t>
            </w:r>
          </w:p>
        </w:tc>
        <w:tc>
          <w:tcPr>
            <w:tcW w:w="1134" w:type="dxa"/>
            <w:tcBorders>
              <w:top w:val="single" w:sz="6" w:space="0" w:color="000000"/>
              <w:left w:val="single" w:sz="6" w:space="0" w:color="000000"/>
              <w:bottom w:val="single" w:sz="6" w:space="0" w:color="000000"/>
              <w:right w:val="single" w:sz="4" w:space="0" w:color="auto"/>
            </w:tcBorders>
          </w:tcPr>
          <w:p w14:paraId="60C6C0D9"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1 day</w:t>
            </w:r>
          </w:p>
        </w:tc>
      </w:tr>
      <w:tr w:rsidR="002252C6" w14:paraId="18F8FC2E" w14:textId="77777777" w:rsidTr="004466E8">
        <w:trPr>
          <w:trHeight w:val="330"/>
          <w:tblCellSpacing w:w="0" w:type="dxa"/>
        </w:trPr>
        <w:tc>
          <w:tcPr>
            <w:tcW w:w="3149" w:type="dxa"/>
            <w:tcBorders>
              <w:top w:val="single" w:sz="6" w:space="0" w:color="000000"/>
              <w:left w:val="single" w:sz="4" w:space="0" w:color="auto"/>
              <w:bottom w:val="single" w:sz="12" w:space="0" w:color="000000"/>
              <w:right w:val="single" w:sz="6" w:space="0" w:color="000000"/>
            </w:tcBorders>
          </w:tcPr>
          <w:p w14:paraId="323F51AB" w14:textId="77777777" w:rsidR="001D4F84" w:rsidRPr="00D07ABD" w:rsidRDefault="00A724BF" w:rsidP="004466E8">
            <w:pPr>
              <w:pStyle w:val="BodyText2"/>
              <w:spacing w:after="120"/>
              <w:rPr>
                <w:rFonts w:ascii="Arial" w:hAnsi="Arial" w:cs="Arial"/>
                <w:b/>
                <w:iCs/>
                <w:szCs w:val="22"/>
              </w:rPr>
            </w:pPr>
            <w:r w:rsidRPr="00D07ABD">
              <w:rPr>
                <w:rFonts w:ascii="Arial" w:hAnsi="Arial" w:cs="Arial"/>
                <w:b/>
                <w:iCs/>
                <w:szCs w:val="22"/>
              </w:rPr>
              <w:t>Other institutions limit</w:t>
            </w:r>
            <w:r w:rsidR="00966E39">
              <w:rPr>
                <w:rFonts w:ascii="Arial" w:hAnsi="Arial" w:cs="Arial"/>
                <w:b/>
                <w:iCs/>
                <w:szCs w:val="22"/>
              </w:rPr>
              <w:t xml:space="preserve"> – Building Societies</w:t>
            </w:r>
          </w:p>
        </w:tc>
        <w:tc>
          <w:tcPr>
            <w:tcW w:w="1825" w:type="dxa"/>
            <w:tcBorders>
              <w:top w:val="single" w:sz="6" w:space="0" w:color="000000"/>
              <w:left w:val="single" w:sz="4" w:space="0" w:color="auto"/>
              <w:bottom w:val="single" w:sz="12" w:space="0" w:color="000000"/>
              <w:right w:val="single" w:sz="4" w:space="0" w:color="auto"/>
            </w:tcBorders>
          </w:tcPr>
          <w:p w14:paraId="422CE84F"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w:t>
            </w:r>
          </w:p>
        </w:tc>
        <w:tc>
          <w:tcPr>
            <w:tcW w:w="1263" w:type="dxa"/>
            <w:tcBorders>
              <w:top w:val="single" w:sz="6" w:space="0" w:color="000000"/>
              <w:left w:val="single" w:sz="6" w:space="0" w:color="000000"/>
              <w:bottom w:val="single" w:sz="12" w:space="0" w:color="000000"/>
              <w:right w:val="single" w:sz="6" w:space="0" w:color="000000"/>
            </w:tcBorders>
          </w:tcPr>
          <w:p w14:paraId="4FD8FAB6"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w:t>
            </w:r>
            <w:r w:rsidR="00966E39">
              <w:rPr>
                <w:rFonts w:ascii="Arial" w:hAnsi="Arial" w:cs="Arial"/>
                <w:b/>
                <w:iCs/>
                <w:szCs w:val="22"/>
              </w:rPr>
              <w:t>5</w:t>
            </w:r>
            <w:r w:rsidRPr="00D07ABD">
              <w:rPr>
                <w:rFonts w:ascii="Arial" w:hAnsi="Arial" w:cs="Arial"/>
                <w:b/>
                <w:iCs/>
                <w:szCs w:val="22"/>
              </w:rPr>
              <w:t>m</w:t>
            </w:r>
          </w:p>
        </w:tc>
        <w:tc>
          <w:tcPr>
            <w:tcW w:w="1524" w:type="dxa"/>
            <w:tcBorders>
              <w:top w:val="single" w:sz="6" w:space="0" w:color="000000"/>
              <w:left w:val="single" w:sz="6" w:space="0" w:color="000000"/>
              <w:bottom w:val="single" w:sz="12" w:space="0" w:color="000000"/>
              <w:right w:val="single" w:sz="6" w:space="0" w:color="000000"/>
            </w:tcBorders>
          </w:tcPr>
          <w:p w14:paraId="5216F40E"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w:t>
            </w:r>
            <w:r w:rsidR="00966E39">
              <w:rPr>
                <w:rFonts w:ascii="Arial" w:hAnsi="Arial" w:cs="Arial"/>
                <w:b/>
                <w:iCs/>
                <w:szCs w:val="22"/>
              </w:rPr>
              <w:t>5</w:t>
            </w:r>
            <w:r w:rsidRPr="00D07ABD">
              <w:rPr>
                <w:rFonts w:ascii="Arial" w:hAnsi="Arial" w:cs="Arial"/>
                <w:b/>
                <w:iCs/>
                <w:szCs w:val="22"/>
              </w:rPr>
              <w:t>m</w:t>
            </w:r>
          </w:p>
        </w:tc>
        <w:tc>
          <w:tcPr>
            <w:tcW w:w="1134" w:type="dxa"/>
            <w:tcBorders>
              <w:top w:val="single" w:sz="6" w:space="0" w:color="000000"/>
              <w:left w:val="single" w:sz="6" w:space="0" w:color="000000"/>
              <w:bottom w:val="single" w:sz="12" w:space="0" w:color="000000"/>
              <w:right w:val="single" w:sz="4" w:space="0" w:color="auto"/>
            </w:tcBorders>
          </w:tcPr>
          <w:p w14:paraId="559D920E" w14:textId="77777777" w:rsidR="001D4F84" w:rsidRPr="00D07ABD" w:rsidRDefault="00A724BF" w:rsidP="004466E8">
            <w:pPr>
              <w:pStyle w:val="BodyText2"/>
              <w:spacing w:after="120"/>
              <w:jc w:val="center"/>
              <w:rPr>
                <w:rFonts w:ascii="Arial" w:hAnsi="Arial" w:cs="Arial"/>
                <w:b/>
                <w:iCs/>
                <w:szCs w:val="22"/>
              </w:rPr>
            </w:pPr>
            <w:r>
              <w:rPr>
                <w:rFonts w:ascii="Arial" w:hAnsi="Arial" w:cs="Arial"/>
                <w:b/>
                <w:iCs/>
                <w:szCs w:val="22"/>
              </w:rPr>
              <w:t>1</w:t>
            </w:r>
            <w:r w:rsidR="002C47B4">
              <w:rPr>
                <w:rFonts w:ascii="Arial" w:hAnsi="Arial" w:cs="Arial"/>
                <w:b/>
                <w:iCs/>
                <w:szCs w:val="22"/>
              </w:rPr>
              <w:t xml:space="preserve"> </w:t>
            </w:r>
            <w:proofErr w:type="spellStart"/>
            <w:r w:rsidRPr="00D07ABD">
              <w:rPr>
                <w:rFonts w:ascii="Arial" w:hAnsi="Arial" w:cs="Arial"/>
                <w:b/>
                <w:iCs/>
                <w:szCs w:val="22"/>
              </w:rPr>
              <w:t>yr</w:t>
            </w:r>
            <w:proofErr w:type="spellEnd"/>
          </w:p>
        </w:tc>
      </w:tr>
      <w:tr w:rsidR="002252C6" w14:paraId="5DF5C9D8" w14:textId="77777777" w:rsidTr="004466E8">
        <w:trPr>
          <w:trHeight w:val="330"/>
          <w:tblCellSpacing w:w="0" w:type="dxa"/>
        </w:trPr>
        <w:tc>
          <w:tcPr>
            <w:tcW w:w="3149" w:type="dxa"/>
            <w:tcBorders>
              <w:top w:val="single" w:sz="6" w:space="0" w:color="000000"/>
              <w:left w:val="single" w:sz="4" w:space="0" w:color="auto"/>
              <w:bottom w:val="single" w:sz="12" w:space="0" w:color="000000"/>
              <w:right w:val="single" w:sz="6" w:space="0" w:color="000000"/>
            </w:tcBorders>
          </w:tcPr>
          <w:p w14:paraId="22EF2311" w14:textId="77777777" w:rsidR="001D4F84" w:rsidRPr="00D07ABD" w:rsidRDefault="00A724BF" w:rsidP="004466E8">
            <w:pPr>
              <w:pStyle w:val="BodyText2"/>
              <w:spacing w:after="120"/>
              <w:rPr>
                <w:rFonts w:ascii="Arial" w:hAnsi="Arial" w:cs="Arial"/>
                <w:b/>
                <w:iCs/>
                <w:szCs w:val="22"/>
              </w:rPr>
            </w:pPr>
            <w:r w:rsidRPr="00D07ABD">
              <w:rPr>
                <w:rFonts w:ascii="Arial" w:hAnsi="Arial" w:cs="Arial"/>
                <w:b/>
                <w:iCs/>
                <w:szCs w:val="22"/>
              </w:rPr>
              <w:t>DMADF</w:t>
            </w:r>
          </w:p>
        </w:tc>
        <w:tc>
          <w:tcPr>
            <w:tcW w:w="1825" w:type="dxa"/>
            <w:tcBorders>
              <w:top w:val="single" w:sz="6" w:space="0" w:color="000000"/>
              <w:left w:val="single" w:sz="4" w:space="0" w:color="auto"/>
              <w:bottom w:val="single" w:sz="12" w:space="0" w:color="000000"/>
              <w:right w:val="single" w:sz="4" w:space="0" w:color="auto"/>
            </w:tcBorders>
          </w:tcPr>
          <w:p w14:paraId="4B20F90D"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 xml:space="preserve">UK sovereign rating </w:t>
            </w:r>
          </w:p>
        </w:tc>
        <w:tc>
          <w:tcPr>
            <w:tcW w:w="1263" w:type="dxa"/>
            <w:tcBorders>
              <w:top w:val="single" w:sz="6" w:space="0" w:color="000000"/>
              <w:left w:val="single" w:sz="6" w:space="0" w:color="000000"/>
              <w:bottom w:val="single" w:sz="12" w:space="0" w:color="000000"/>
              <w:right w:val="single" w:sz="6" w:space="0" w:color="000000"/>
            </w:tcBorders>
          </w:tcPr>
          <w:p w14:paraId="4AFF3233"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unlimited</w:t>
            </w:r>
          </w:p>
        </w:tc>
        <w:tc>
          <w:tcPr>
            <w:tcW w:w="1524" w:type="dxa"/>
            <w:tcBorders>
              <w:top w:val="single" w:sz="6" w:space="0" w:color="000000"/>
              <w:left w:val="single" w:sz="6" w:space="0" w:color="000000"/>
              <w:bottom w:val="single" w:sz="12" w:space="0" w:color="000000"/>
              <w:right w:val="single" w:sz="6" w:space="0" w:color="000000"/>
            </w:tcBorders>
          </w:tcPr>
          <w:p w14:paraId="3B35BD7F"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w:t>
            </w:r>
            <w:r w:rsidR="007C08E6">
              <w:rPr>
                <w:rFonts w:ascii="Arial" w:hAnsi="Arial" w:cs="Arial"/>
                <w:b/>
                <w:iCs/>
                <w:szCs w:val="22"/>
              </w:rPr>
              <w:t>5</w:t>
            </w:r>
            <w:r w:rsidRPr="00D07ABD">
              <w:rPr>
                <w:rFonts w:ascii="Arial" w:hAnsi="Arial" w:cs="Arial"/>
                <w:b/>
                <w:iCs/>
                <w:szCs w:val="22"/>
              </w:rPr>
              <w:t>m</w:t>
            </w:r>
          </w:p>
        </w:tc>
        <w:tc>
          <w:tcPr>
            <w:tcW w:w="1134" w:type="dxa"/>
            <w:tcBorders>
              <w:top w:val="single" w:sz="6" w:space="0" w:color="000000"/>
              <w:left w:val="single" w:sz="6" w:space="0" w:color="000000"/>
              <w:bottom w:val="single" w:sz="12" w:space="0" w:color="000000"/>
              <w:right w:val="single" w:sz="4" w:space="0" w:color="auto"/>
            </w:tcBorders>
          </w:tcPr>
          <w:p w14:paraId="17B38B5A"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 xml:space="preserve">6 </w:t>
            </w:r>
            <w:proofErr w:type="spellStart"/>
            <w:r w:rsidRPr="00D07ABD">
              <w:rPr>
                <w:rFonts w:ascii="Arial" w:hAnsi="Arial" w:cs="Arial"/>
                <w:b/>
                <w:iCs/>
                <w:szCs w:val="22"/>
              </w:rPr>
              <w:t>mths</w:t>
            </w:r>
            <w:proofErr w:type="spellEnd"/>
          </w:p>
        </w:tc>
      </w:tr>
      <w:tr w:rsidR="002252C6" w14:paraId="31DC1A88" w14:textId="77777777" w:rsidTr="004466E8">
        <w:trPr>
          <w:trHeight w:val="330"/>
          <w:tblCellSpacing w:w="0" w:type="dxa"/>
        </w:trPr>
        <w:tc>
          <w:tcPr>
            <w:tcW w:w="3149" w:type="dxa"/>
            <w:tcBorders>
              <w:top w:val="single" w:sz="6" w:space="0" w:color="000000"/>
              <w:left w:val="single" w:sz="4" w:space="0" w:color="auto"/>
              <w:bottom w:val="single" w:sz="12" w:space="0" w:color="000000"/>
              <w:right w:val="single" w:sz="6" w:space="0" w:color="000000"/>
            </w:tcBorders>
          </w:tcPr>
          <w:p w14:paraId="394D4E9E" w14:textId="77777777" w:rsidR="001D4F84" w:rsidRPr="00D07ABD" w:rsidRDefault="00A724BF" w:rsidP="004466E8">
            <w:pPr>
              <w:pStyle w:val="BodyText2"/>
              <w:spacing w:after="120"/>
              <w:rPr>
                <w:rFonts w:ascii="Arial" w:hAnsi="Arial" w:cs="Arial"/>
                <w:b/>
                <w:iCs/>
                <w:szCs w:val="22"/>
              </w:rPr>
            </w:pPr>
            <w:r w:rsidRPr="00D07ABD">
              <w:rPr>
                <w:rFonts w:ascii="Arial" w:hAnsi="Arial" w:cs="Arial"/>
                <w:b/>
                <w:iCs/>
                <w:szCs w:val="22"/>
              </w:rPr>
              <w:t>Local authorities</w:t>
            </w:r>
          </w:p>
        </w:tc>
        <w:tc>
          <w:tcPr>
            <w:tcW w:w="1825" w:type="dxa"/>
            <w:tcBorders>
              <w:top w:val="single" w:sz="6" w:space="0" w:color="000000"/>
              <w:left w:val="single" w:sz="4" w:space="0" w:color="auto"/>
              <w:bottom w:val="single" w:sz="12" w:space="0" w:color="000000"/>
              <w:right w:val="single" w:sz="4" w:space="0" w:color="auto"/>
            </w:tcBorders>
          </w:tcPr>
          <w:p w14:paraId="65CDD37F"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n/a</w:t>
            </w:r>
          </w:p>
        </w:tc>
        <w:tc>
          <w:tcPr>
            <w:tcW w:w="1263" w:type="dxa"/>
            <w:tcBorders>
              <w:top w:val="single" w:sz="6" w:space="0" w:color="000000"/>
              <w:left w:val="single" w:sz="6" w:space="0" w:color="000000"/>
              <w:bottom w:val="single" w:sz="12" w:space="0" w:color="000000"/>
              <w:right w:val="single" w:sz="6" w:space="0" w:color="000000"/>
            </w:tcBorders>
          </w:tcPr>
          <w:p w14:paraId="24378FA5"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w:t>
            </w:r>
            <w:r w:rsidR="00966E39">
              <w:rPr>
                <w:rFonts w:ascii="Arial" w:hAnsi="Arial" w:cs="Arial"/>
                <w:b/>
                <w:iCs/>
                <w:szCs w:val="22"/>
              </w:rPr>
              <w:t>5</w:t>
            </w:r>
            <w:r w:rsidRPr="00D07ABD">
              <w:rPr>
                <w:rFonts w:ascii="Arial" w:hAnsi="Arial" w:cs="Arial"/>
                <w:b/>
                <w:iCs/>
                <w:szCs w:val="22"/>
              </w:rPr>
              <w:t>m</w:t>
            </w:r>
          </w:p>
        </w:tc>
        <w:tc>
          <w:tcPr>
            <w:tcW w:w="1524" w:type="dxa"/>
            <w:tcBorders>
              <w:top w:val="single" w:sz="6" w:space="0" w:color="000000"/>
              <w:left w:val="single" w:sz="6" w:space="0" w:color="000000"/>
              <w:bottom w:val="single" w:sz="12" w:space="0" w:color="000000"/>
              <w:right w:val="single" w:sz="6" w:space="0" w:color="000000"/>
            </w:tcBorders>
          </w:tcPr>
          <w:p w14:paraId="028E84FC"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w:t>
            </w:r>
            <w:r w:rsidR="00966E39">
              <w:rPr>
                <w:rFonts w:ascii="Arial" w:hAnsi="Arial" w:cs="Arial"/>
                <w:b/>
                <w:iCs/>
                <w:szCs w:val="22"/>
              </w:rPr>
              <w:t>5</w:t>
            </w:r>
            <w:r w:rsidRPr="00D07ABD">
              <w:rPr>
                <w:rFonts w:ascii="Arial" w:hAnsi="Arial" w:cs="Arial"/>
                <w:b/>
                <w:iCs/>
                <w:szCs w:val="22"/>
              </w:rPr>
              <w:t>m</w:t>
            </w:r>
          </w:p>
        </w:tc>
        <w:tc>
          <w:tcPr>
            <w:tcW w:w="1134" w:type="dxa"/>
            <w:tcBorders>
              <w:top w:val="single" w:sz="6" w:space="0" w:color="000000"/>
              <w:left w:val="single" w:sz="6" w:space="0" w:color="000000"/>
              <w:bottom w:val="single" w:sz="12" w:space="0" w:color="000000"/>
              <w:right w:val="single" w:sz="4" w:space="0" w:color="auto"/>
            </w:tcBorders>
          </w:tcPr>
          <w:p w14:paraId="30907B6F" w14:textId="77777777" w:rsidR="001D4F84" w:rsidRPr="00D07ABD" w:rsidRDefault="00A724BF" w:rsidP="004466E8">
            <w:pPr>
              <w:pStyle w:val="BodyText2"/>
              <w:spacing w:after="120"/>
              <w:jc w:val="center"/>
              <w:rPr>
                <w:rFonts w:ascii="Arial" w:hAnsi="Arial" w:cs="Arial"/>
                <w:b/>
                <w:iCs/>
                <w:szCs w:val="22"/>
              </w:rPr>
            </w:pPr>
            <w:r>
              <w:rPr>
                <w:rFonts w:ascii="Arial" w:hAnsi="Arial" w:cs="Arial"/>
                <w:b/>
                <w:iCs/>
                <w:szCs w:val="22"/>
              </w:rPr>
              <w:t xml:space="preserve">1 </w:t>
            </w:r>
            <w:proofErr w:type="spellStart"/>
            <w:r>
              <w:rPr>
                <w:rFonts w:ascii="Arial" w:hAnsi="Arial" w:cs="Arial"/>
                <w:b/>
                <w:iCs/>
                <w:szCs w:val="22"/>
              </w:rPr>
              <w:t>yr</w:t>
            </w:r>
            <w:proofErr w:type="spellEnd"/>
          </w:p>
        </w:tc>
      </w:tr>
      <w:tr w:rsidR="002252C6" w14:paraId="57216339" w14:textId="77777777" w:rsidTr="004466E8">
        <w:trPr>
          <w:trHeight w:val="330"/>
          <w:tblCellSpacing w:w="0" w:type="dxa"/>
        </w:trPr>
        <w:tc>
          <w:tcPr>
            <w:tcW w:w="3149" w:type="dxa"/>
            <w:tcBorders>
              <w:top w:val="single" w:sz="6" w:space="0" w:color="000000"/>
              <w:left w:val="single" w:sz="4" w:space="0" w:color="auto"/>
              <w:bottom w:val="single" w:sz="12" w:space="0" w:color="000000"/>
              <w:right w:val="single" w:sz="6" w:space="0" w:color="000000"/>
            </w:tcBorders>
          </w:tcPr>
          <w:p w14:paraId="63F2AFA4" w14:textId="77777777" w:rsidR="001D4F84" w:rsidRPr="00D07ABD" w:rsidRDefault="00A724BF" w:rsidP="004466E8">
            <w:pPr>
              <w:pStyle w:val="BodyText2"/>
              <w:spacing w:after="120"/>
              <w:rPr>
                <w:rFonts w:ascii="Arial" w:hAnsi="Arial" w:cs="Arial"/>
                <w:b/>
                <w:iCs/>
                <w:szCs w:val="22"/>
              </w:rPr>
            </w:pPr>
            <w:r w:rsidRPr="00D07ABD">
              <w:rPr>
                <w:rFonts w:ascii="Arial" w:hAnsi="Arial" w:cs="Arial"/>
                <w:b/>
                <w:iCs/>
                <w:szCs w:val="22"/>
              </w:rPr>
              <w:t>Housing associations</w:t>
            </w:r>
          </w:p>
        </w:tc>
        <w:tc>
          <w:tcPr>
            <w:tcW w:w="1825" w:type="dxa"/>
            <w:tcBorders>
              <w:top w:val="single" w:sz="6" w:space="0" w:color="000000"/>
              <w:left w:val="single" w:sz="4" w:space="0" w:color="auto"/>
              <w:bottom w:val="single" w:sz="12" w:space="0" w:color="000000"/>
              <w:right w:val="single" w:sz="4" w:space="0" w:color="auto"/>
            </w:tcBorders>
          </w:tcPr>
          <w:p w14:paraId="7049176B"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Colour bands</w:t>
            </w:r>
          </w:p>
        </w:tc>
        <w:tc>
          <w:tcPr>
            <w:tcW w:w="1263" w:type="dxa"/>
            <w:tcBorders>
              <w:top w:val="single" w:sz="6" w:space="0" w:color="000000"/>
              <w:left w:val="single" w:sz="6" w:space="0" w:color="000000"/>
              <w:bottom w:val="single" w:sz="12" w:space="0" w:color="000000"/>
              <w:right w:val="single" w:sz="6" w:space="0" w:color="000000"/>
            </w:tcBorders>
          </w:tcPr>
          <w:p w14:paraId="3F1452D7"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w:t>
            </w:r>
            <w:r w:rsidR="00966E39">
              <w:rPr>
                <w:rFonts w:ascii="Arial" w:hAnsi="Arial" w:cs="Arial"/>
                <w:b/>
                <w:iCs/>
                <w:szCs w:val="22"/>
              </w:rPr>
              <w:t>5</w:t>
            </w:r>
            <w:r w:rsidRPr="00D07ABD">
              <w:rPr>
                <w:rFonts w:ascii="Arial" w:hAnsi="Arial" w:cs="Arial"/>
                <w:b/>
                <w:iCs/>
                <w:szCs w:val="22"/>
              </w:rPr>
              <w:t>m</w:t>
            </w:r>
          </w:p>
        </w:tc>
        <w:tc>
          <w:tcPr>
            <w:tcW w:w="1524" w:type="dxa"/>
            <w:tcBorders>
              <w:top w:val="single" w:sz="6" w:space="0" w:color="000000"/>
              <w:left w:val="single" w:sz="6" w:space="0" w:color="000000"/>
              <w:bottom w:val="single" w:sz="12" w:space="0" w:color="000000"/>
              <w:right w:val="single" w:sz="6" w:space="0" w:color="000000"/>
            </w:tcBorders>
          </w:tcPr>
          <w:p w14:paraId="09BADC66"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w:t>
            </w:r>
            <w:r w:rsidR="00966E39">
              <w:rPr>
                <w:rFonts w:ascii="Arial" w:hAnsi="Arial" w:cs="Arial"/>
                <w:b/>
                <w:iCs/>
                <w:szCs w:val="22"/>
              </w:rPr>
              <w:t>5</w:t>
            </w:r>
            <w:r w:rsidRPr="00D07ABD">
              <w:rPr>
                <w:rFonts w:ascii="Arial" w:hAnsi="Arial" w:cs="Arial"/>
                <w:b/>
                <w:iCs/>
                <w:szCs w:val="22"/>
              </w:rPr>
              <w:t>m</w:t>
            </w:r>
          </w:p>
        </w:tc>
        <w:tc>
          <w:tcPr>
            <w:tcW w:w="1134" w:type="dxa"/>
            <w:tcBorders>
              <w:top w:val="single" w:sz="6" w:space="0" w:color="000000"/>
              <w:left w:val="single" w:sz="6" w:space="0" w:color="000000"/>
              <w:bottom w:val="single" w:sz="12" w:space="0" w:color="000000"/>
              <w:right w:val="single" w:sz="4" w:space="0" w:color="auto"/>
            </w:tcBorders>
          </w:tcPr>
          <w:p w14:paraId="60A5E3CF"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As per colour band</w:t>
            </w:r>
          </w:p>
        </w:tc>
      </w:tr>
      <w:tr w:rsidR="002252C6" w14:paraId="167F20EA" w14:textId="77777777" w:rsidTr="004466E8">
        <w:trPr>
          <w:trHeight w:val="330"/>
          <w:tblCellSpacing w:w="0" w:type="dxa"/>
        </w:trPr>
        <w:tc>
          <w:tcPr>
            <w:tcW w:w="3149" w:type="dxa"/>
            <w:tcBorders>
              <w:top w:val="single" w:sz="6" w:space="0" w:color="000000"/>
              <w:left w:val="single" w:sz="4" w:space="0" w:color="auto"/>
              <w:bottom w:val="single" w:sz="6" w:space="0" w:color="000000"/>
              <w:right w:val="single" w:sz="6" w:space="0" w:color="000000"/>
            </w:tcBorders>
            <w:shd w:val="clear" w:color="auto" w:fill="BFBFBF" w:themeFill="background1" w:themeFillShade="BF"/>
          </w:tcPr>
          <w:p w14:paraId="36E8788B" w14:textId="77777777" w:rsidR="001D4F84" w:rsidRPr="00D07ABD" w:rsidRDefault="00A724BF" w:rsidP="004466E8">
            <w:pPr>
              <w:pStyle w:val="BodyText2"/>
              <w:spacing w:after="120"/>
              <w:rPr>
                <w:rFonts w:ascii="Arial" w:hAnsi="Arial" w:cs="Arial"/>
                <w:b/>
                <w:iCs/>
                <w:szCs w:val="22"/>
              </w:rPr>
            </w:pPr>
            <w:r w:rsidRPr="00D07ABD">
              <w:rPr>
                <w:rFonts w:ascii="Arial" w:hAnsi="Arial" w:cs="Arial"/>
                <w:b/>
                <w:iCs/>
                <w:szCs w:val="22"/>
              </w:rPr>
              <w:lastRenderedPageBreak/>
              <w:t> </w:t>
            </w:r>
          </w:p>
        </w:tc>
        <w:tc>
          <w:tcPr>
            <w:tcW w:w="18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65497C"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Fund rating</w:t>
            </w:r>
          </w:p>
        </w:tc>
        <w:tc>
          <w:tcPr>
            <w:tcW w:w="1263" w:type="dxa"/>
            <w:tcBorders>
              <w:top w:val="single" w:sz="4" w:space="0" w:color="auto"/>
              <w:left w:val="single" w:sz="4" w:space="0" w:color="auto"/>
              <w:bottom w:val="single" w:sz="6" w:space="0" w:color="000000"/>
              <w:right w:val="single" w:sz="4" w:space="0" w:color="auto"/>
            </w:tcBorders>
            <w:shd w:val="clear" w:color="auto" w:fill="BFBFBF" w:themeFill="background1" w:themeFillShade="BF"/>
          </w:tcPr>
          <w:p w14:paraId="3BC0DD7C"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Money</w:t>
            </w:r>
          </w:p>
          <w:p w14:paraId="70FDA3CD"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Limit</w:t>
            </w:r>
          </w:p>
        </w:tc>
        <w:tc>
          <w:tcPr>
            <w:tcW w:w="15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81F3CC" w14:textId="77777777" w:rsidR="001D4F84" w:rsidRPr="00D07ABD" w:rsidRDefault="001D4F84" w:rsidP="004466E8">
            <w:pPr>
              <w:pStyle w:val="BodyText2"/>
              <w:spacing w:after="120"/>
              <w:jc w:val="center"/>
              <w:rPr>
                <w:rFonts w:ascii="Arial" w:hAnsi="Arial" w:cs="Arial"/>
                <w:b/>
                <w:iCs/>
                <w:szCs w:val="22"/>
              </w:rPr>
            </w:pPr>
          </w:p>
        </w:tc>
        <w:tc>
          <w:tcPr>
            <w:tcW w:w="1134" w:type="dxa"/>
            <w:tcBorders>
              <w:top w:val="single" w:sz="4" w:space="0" w:color="auto"/>
              <w:left w:val="single" w:sz="4" w:space="0" w:color="auto"/>
              <w:bottom w:val="single" w:sz="6" w:space="0" w:color="000000"/>
              <w:right w:val="single" w:sz="4" w:space="0" w:color="auto"/>
            </w:tcBorders>
            <w:shd w:val="clear" w:color="auto" w:fill="BFBFBF" w:themeFill="background1" w:themeFillShade="BF"/>
          </w:tcPr>
          <w:p w14:paraId="0D72AA8F"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 xml:space="preserve">Time </w:t>
            </w:r>
          </w:p>
          <w:p w14:paraId="0305F470"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Limit</w:t>
            </w:r>
          </w:p>
        </w:tc>
      </w:tr>
      <w:tr w:rsidR="002252C6" w14:paraId="06297E11" w14:textId="77777777" w:rsidTr="004466E8">
        <w:trPr>
          <w:trHeight w:val="330"/>
          <w:tblCellSpacing w:w="0" w:type="dxa"/>
        </w:trPr>
        <w:tc>
          <w:tcPr>
            <w:tcW w:w="3149" w:type="dxa"/>
            <w:tcBorders>
              <w:top w:val="single" w:sz="6" w:space="0" w:color="000000"/>
              <w:left w:val="single" w:sz="4" w:space="0" w:color="auto"/>
              <w:bottom w:val="single" w:sz="6" w:space="0" w:color="000000"/>
              <w:right w:val="single" w:sz="6" w:space="0" w:color="000000"/>
            </w:tcBorders>
          </w:tcPr>
          <w:p w14:paraId="261E7BA4" w14:textId="77777777" w:rsidR="001D4F84" w:rsidRPr="00D07ABD" w:rsidRDefault="00A724BF" w:rsidP="004466E8">
            <w:pPr>
              <w:pStyle w:val="BodyText2"/>
              <w:spacing w:after="120"/>
              <w:rPr>
                <w:rFonts w:ascii="Arial" w:hAnsi="Arial" w:cs="Arial"/>
                <w:b/>
                <w:iCs/>
                <w:szCs w:val="22"/>
              </w:rPr>
            </w:pPr>
            <w:r w:rsidRPr="00D07ABD">
              <w:rPr>
                <w:rFonts w:ascii="Arial" w:hAnsi="Arial" w:cs="Arial"/>
                <w:b/>
                <w:iCs/>
                <w:szCs w:val="22"/>
              </w:rPr>
              <w:t>Money Market Funds CNAV</w:t>
            </w:r>
          </w:p>
        </w:tc>
        <w:tc>
          <w:tcPr>
            <w:tcW w:w="1825" w:type="dxa"/>
            <w:tcBorders>
              <w:top w:val="single" w:sz="6" w:space="0" w:color="000000"/>
              <w:left w:val="single" w:sz="4" w:space="0" w:color="auto"/>
              <w:bottom w:val="single" w:sz="6" w:space="0" w:color="000000"/>
              <w:right w:val="single" w:sz="4" w:space="0" w:color="auto"/>
            </w:tcBorders>
          </w:tcPr>
          <w:p w14:paraId="7A7A09C2"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AAA</w:t>
            </w:r>
          </w:p>
        </w:tc>
        <w:tc>
          <w:tcPr>
            <w:tcW w:w="1263" w:type="dxa"/>
            <w:tcBorders>
              <w:top w:val="single" w:sz="6" w:space="0" w:color="000000"/>
              <w:left w:val="single" w:sz="4" w:space="0" w:color="auto"/>
              <w:bottom w:val="single" w:sz="6" w:space="0" w:color="000000"/>
              <w:right w:val="single" w:sz="4" w:space="0" w:color="auto"/>
            </w:tcBorders>
          </w:tcPr>
          <w:p w14:paraId="36D546BF"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w:t>
            </w:r>
            <w:r w:rsidR="00966E39">
              <w:rPr>
                <w:rFonts w:ascii="Arial" w:hAnsi="Arial" w:cs="Arial"/>
                <w:b/>
                <w:iCs/>
                <w:szCs w:val="22"/>
              </w:rPr>
              <w:t>5</w:t>
            </w:r>
            <w:r w:rsidRPr="00D07ABD">
              <w:rPr>
                <w:rFonts w:ascii="Arial" w:hAnsi="Arial" w:cs="Arial"/>
                <w:b/>
                <w:iCs/>
                <w:szCs w:val="22"/>
              </w:rPr>
              <w:t>m</w:t>
            </w:r>
          </w:p>
        </w:tc>
        <w:tc>
          <w:tcPr>
            <w:tcW w:w="1524" w:type="dxa"/>
            <w:tcBorders>
              <w:top w:val="single" w:sz="6" w:space="0" w:color="000000"/>
              <w:left w:val="single" w:sz="4" w:space="0" w:color="auto"/>
              <w:bottom w:val="single" w:sz="6" w:space="0" w:color="000000"/>
              <w:right w:val="single" w:sz="4" w:space="0" w:color="auto"/>
            </w:tcBorders>
          </w:tcPr>
          <w:p w14:paraId="2F07DD30"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w:t>
            </w:r>
            <w:r w:rsidR="00966E39">
              <w:rPr>
                <w:rFonts w:ascii="Arial" w:hAnsi="Arial" w:cs="Arial"/>
                <w:b/>
                <w:iCs/>
                <w:szCs w:val="22"/>
              </w:rPr>
              <w:t>5</w:t>
            </w:r>
            <w:r w:rsidRPr="00D07ABD">
              <w:rPr>
                <w:rFonts w:ascii="Arial" w:hAnsi="Arial" w:cs="Arial"/>
                <w:b/>
                <w:iCs/>
                <w:szCs w:val="22"/>
              </w:rPr>
              <w:t>m</w:t>
            </w:r>
          </w:p>
        </w:tc>
        <w:tc>
          <w:tcPr>
            <w:tcW w:w="1134" w:type="dxa"/>
            <w:tcBorders>
              <w:top w:val="single" w:sz="6" w:space="0" w:color="000000"/>
              <w:left w:val="single" w:sz="4" w:space="0" w:color="auto"/>
              <w:bottom w:val="single" w:sz="6" w:space="0" w:color="000000"/>
              <w:right w:val="single" w:sz="4" w:space="0" w:color="auto"/>
            </w:tcBorders>
          </w:tcPr>
          <w:p w14:paraId="5BBD3F12"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liquid</w:t>
            </w:r>
          </w:p>
        </w:tc>
      </w:tr>
      <w:tr w:rsidR="002252C6" w14:paraId="74DE5535" w14:textId="77777777" w:rsidTr="004466E8">
        <w:trPr>
          <w:trHeight w:val="330"/>
          <w:tblCellSpacing w:w="0" w:type="dxa"/>
        </w:trPr>
        <w:tc>
          <w:tcPr>
            <w:tcW w:w="3149" w:type="dxa"/>
            <w:tcBorders>
              <w:top w:val="single" w:sz="6" w:space="0" w:color="000000"/>
              <w:left w:val="single" w:sz="4" w:space="0" w:color="auto"/>
              <w:bottom w:val="single" w:sz="6" w:space="0" w:color="000000"/>
              <w:right w:val="single" w:sz="6" w:space="0" w:color="000000"/>
            </w:tcBorders>
          </w:tcPr>
          <w:p w14:paraId="00D61491" w14:textId="77777777" w:rsidR="001D4F84" w:rsidRPr="00D07ABD" w:rsidRDefault="00A724BF" w:rsidP="004466E8">
            <w:pPr>
              <w:pStyle w:val="BodyText2"/>
              <w:spacing w:after="120"/>
              <w:rPr>
                <w:rFonts w:ascii="Arial" w:hAnsi="Arial" w:cs="Arial"/>
                <w:b/>
                <w:iCs/>
                <w:szCs w:val="22"/>
              </w:rPr>
            </w:pPr>
            <w:r w:rsidRPr="00D07ABD">
              <w:rPr>
                <w:rFonts w:ascii="Arial" w:hAnsi="Arial" w:cs="Arial"/>
                <w:b/>
                <w:iCs/>
                <w:szCs w:val="22"/>
              </w:rPr>
              <w:t>Money Market Funds LVNAV</w:t>
            </w:r>
          </w:p>
        </w:tc>
        <w:tc>
          <w:tcPr>
            <w:tcW w:w="1825" w:type="dxa"/>
            <w:tcBorders>
              <w:top w:val="single" w:sz="6" w:space="0" w:color="000000"/>
              <w:left w:val="single" w:sz="4" w:space="0" w:color="auto"/>
              <w:bottom w:val="single" w:sz="6" w:space="0" w:color="000000"/>
              <w:right w:val="single" w:sz="4" w:space="0" w:color="auto"/>
            </w:tcBorders>
          </w:tcPr>
          <w:p w14:paraId="2FDFAF9B"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AAA</w:t>
            </w:r>
          </w:p>
        </w:tc>
        <w:tc>
          <w:tcPr>
            <w:tcW w:w="1263" w:type="dxa"/>
            <w:tcBorders>
              <w:top w:val="single" w:sz="6" w:space="0" w:color="000000"/>
              <w:left w:val="single" w:sz="4" w:space="0" w:color="auto"/>
              <w:bottom w:val="single" w:sz="6" w:space="0" w:color="000000"/>
              <w:right w:val="single" w:sz="4" w:space="0" w:color="auto"/>
            </w:tcBorders>
          </w:tcPr>
          <w:p w14:paraId="3360983D"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w:t>
            </w:r>
            <w:r w:rsidR="00966E39">
              <w:rPr>
                <w:rFonts w:ascii="Arial" w:hAnsi="Arial" w:cs="Arial"/>
                <w:b/>
                <w:iCs/>
                <w:szCs w:val="22"/>
              </w:rPr>
              <w:t>5</w:t>
            </w:r>
            <w:r w:rsidRPr="00D07ABD">
              <w:rPr>
                <w:rFonts w:ascii="Arial" w:hAnsi="Arial" w:cs="Arial"/>
                <w:b/>
                <w:iCs/>
                <w:szCs w:val="22"/>
              </w:rPr>
              <w:t>m</w:t>
            </w:r>
          </w:p>
        </w:tc>
        <w:tc>
          <w:tcPr>
            <w:tcW w:w="1524" w:type="dxa"/>
            <w:tcBorders>
              <w:top w:val="single" w:sz="6" w:space="0" w:color="000000"/>
              <w:left w:val="single" w:sz="4" w:space="0" w:color="auto"/>
              <w:bottom w:val="single" w:sz="6" w:space="0" w:color="000000"/>
              <w:right w:val="single" w:sz="4" w:space="0" w:color="auto"/>
            </w:tcBorders>
          </w:tcPr>
          <w:p w14:paraId="1BBD33B7"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w:t>
            </w:r>
            <w:r w:rsidR="00966E39">
              <w:rPr>
                <w:rFonts w:ascii="Arial" w:hAnsi="Arial" w:cs="Arial"/>
                <w:b/>
                <w:iCs/>
                <w:szCs w:val="22"/>
              </w:rPr>
              <w:t>5</w:t>
            </w:r>
            <w:r w:rsidRPr="00D07ABD">
              <w:rPr>
                <w:rFonts w:ascii="Arial" w:hAnsi="Arial" w:cs="Arial"/>
                <w:b/>
                <w:iCs/>
                <w:szCs w:val="22"/>
              </w:rPr>
              <w:t>m</w:t>
            </w:r>
          </w:p>
        </w:tc>
        <w:tc>
          <w:tcPr>
            <w:tcW w:w="1134" w:type="dxa"/>
            <w:tcBorders>
              <w:top w:val="single" w:sz="6" w:space="0" w:color="000000"/>
              <w:left w:val="single" w:sz="4" w:space="0" w:color="auto"/>
              <w:bottom w:val="single" w:sz="6" w:space="0" w:color="000000"/>
              <w:right w:val="single" w:sz="4" w:space="0" w:color="auto"/>
            </w:tcBorders>
          </w:tcPr>
          <w:p w14:paraId="4475C39E"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liquid</w:t>
            </w:r>
          </w:p>
        </w:tc>
      </w:tr>
      <w:tr w:rsidR="002252C6" w14:paraId="08BB7B0C" w14:textId="77777777" w:rsidTr="004466E8">
        <w:trPr>
          <w:trHeight w:val="330"/>
          <w:tblCellSpacing w:w="0" w:type="dxa"/>
        </w:trPr>
        <w:tc>
          <w:tcPr>
            <w:tcW w:w="3149" w:type="dxa"/>
            <w:tcBorders>
              <w:top w:val="single" w:sz="6" w:space="0" w:color="000000"/>
              <w:left w:val="single" w:sz="4" w:space="0" w:color="auto"/>
              <w:bottom w:val="single" w:sz="6" w:space="0" w:color="000000"/>
              <w:right w:val="single" w:sz="6" w:space="0" w:color="000000"/>
            </w:tcBorders>
          </w:tcPr>
          <w:p w14:paraId="1077BB75" w14:textId="77777777" w:rsidR="001D4F84" w:rsidRPr="00D07ABD" w:rsidRDefault="00A724BF" w:rsidP="004466E8">
            <w:pPr>
              <w:pStyle w:val="BodyText2"/>
              <w:spacing w:after="120"/>
              <w:rPr>
                <w:rFonts w:ascii="Arial" w:hAnsi="Arial" w:cs="Arial"/>
                <w:b/>
                <w:iCs/>
                <w:szCs w:val="22"/>
              </w:rPr>
            </w:pPr>
            <w:r w:rsidRPr="00D07ABD">
              <w:rPr>
                <w:rFonts w:ascii="Arial" w:hAnsi="Arial" w:cs="Arial"/>
                <w:b/>
                <w:iCs/>
                <w:szCs w:val="22"/>
              </w:rPr>
              <w:t>Money Market Funds VNAV</w:t>
            </w:r>
          </w:p>
        </w:tc>
        <w:tc>
          <w:tcPr>
            <w:tcW w:w="1825" w:type="dxa"/>
            <w:tcBorders>
              <w:top w:val="single" w:sz="6" w:space="0" w:color="000000"/>
              <w:left w:val="single" w:sz="4" w:space="0" w:color="auto"/>
              <w:bottom w:val="single" w:sz="6" w:space="0" w:color="000000"/>
              <w:right w:val="single" w:sz="4" w:space="0" w:color="auto"/>
            </w:tcBorders>
          </w:tcPr>
          <w:p w14:paraId="5C5F2BE1"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AAA</w:t>
            </w:r>
          </w:p>
        </w:tc>
        <w:tc>
          <w:tcPr>
            <w:tcW w:w="1263" w:type="dxa"/>
            <w:tcBorders>
              <w:top w:val="single" w:sz="6" w:space="0" w:color="000000"/>
              <w:left w:val="single" w:sz="4" w:space="0" w:color="auto"/>
              <w:bottom w:val="single" w:sz="6" w:space="0" w:color="000000"/>
              <w:right w:val="single" w:sz="4" w:space="0" w:color="auto"/>
            </w:tcBorders>
          </w:tcPr>
          <w:p w14:paraId="4A232F4E"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w:t>
            </w:r>
            <w:r w:rsidR="00966E39">
              <w:rPr>
                <w:rFonts w:ascii="Arial" w:hAnsi="Arial" w:cs="Arial"/>
                <w:b/>
                <w:iCs/>
                <w:szCs w:val="22"/>
              </w:rPr>
              <w:t>5</w:t>
            </w:r>
            <w:r w:rsidRPr="00D07ABD">
              <w:rPr>
                <w:rFonts w:ascii="Arial" w:hAnsi="Arial" w:cs="Arial"/>
                <w:b/>
                <w:iCs/>
                <w:szCs w:val="22"/>
              </w:rPr>
              <w:t>m</w:t>
            </w:r>
          </w:p>
        </w:tc>
        <w:tc>
          <w:tcPr>
            <w:tcW w:w="1524" w:type="dxa"/>
            <w:tcBorders>
              <w:top w:val="single" w:sz="6" w:space="0" w:color="000000"/>
              <w:left w:val="single" w:sz="4" w:space="0" w:color="auto"/>
              <w:bottom w:val="single" w:sz="6" w:space="0" w:color="000000"/>
              <w:right w:val="single" w:sz="4" w:space="0" w:color="auto"/>
            </w:tcBorders>
          </w:tcPr>
          <w:p w14:paraId="42DA91A3"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w:t>
            </w:r>
            <w:r w:rsidR="00966E39">
              <w:rPr>
                <w:rFonts w:ascii="Arial" w:hAnsi="Arial" w:cs="Arial"/>
                <w:b/>
                <w:iCs/>
                <w:szCs w:val="22"/>
              </w:rPr>
              <w:t>5</w:t>
            </w:r>
            <w:r w:rsidRPr="00D07ABD">
              <w:rPr>
                <w:rFonts w:ascii="Arial" w:hAnsi="Arial" w:cs="Arial"/>
                <w:b/>
                <w:iCs/>
                <w:szCs w:val="22"/>
              </w:rPr>
              <w:t>m</w:t>
            </w:r>
          </w:p>
        </w:tc>
        <w:tc>
          <w:tcPr>
            <w:tcW w:w="1134" w:type="dxa"/>
            <w:tcBorders>
              <w:top w:val="single" w:sz="6" w:space="0" w:color="000000"/>
              <w:left w:val="single" w:sz="4" w:space="0" w:color="auto"/>
              <w:bottom w:val="single" w:sz="6" w:space="0" w:color="000000"/>
              <w:right w:val="single" w:sz="4" w:space="0" w:color="auto"/>
            </w:tcBorders>
          </w:tcPr>
          <w:p w14:paraId="5611ECEF"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liquid</w:t>
            </w:r>
          </w:p>
        </w:tc>
      </w:tr>
      <w:tr w:rsidR="002252C6" w14:paraId="5DE86452" w14:textId="77777777" w:rsidTr="004466E8">
        <w:trPr>
          <w:trHeight w:val="330"/>
          <w:tblCellSpacing w:w="0" w:type="dxa"/>
        </w:trPr>
        <w:tc>
          <w:tcPr>
            <w:tcW w:w="3149" w:type="dxa"/>
            <w:tcBorders>
              <w:top w:val="single" w:sz="6" w:space="0" w:color="000000"/>
              <w:left w:val="single" w:sz="4" w:space="0" w:color="auto"/>
              <w:bottom w:val="single" w:sz="6" w:space="0" w:color="000000"/>
              <w:right w:val="single" w:sz="6" w:space="0" w:color="000000"/>
            </w:tcBorders>
          </w:tcPr>
          <w:p w14:paraId="1B6C3641" w14:textId="77777777" w:rsidR="001D4F84" w:rsidRPr="00D07ABD" w:rsidRDefault="00A724BF" w:rsidP="004466E8">
            <w:pPr>
              <w:rPr>
                <w:rFonts w:cs="Arial"/>
                <w:b/>
                <w:iCs/>
                <w:spacing w:val="0"/>
                <w:sz w:val="22"/>
                <w:szCs w:val="22"/>
              </w:rPr>
            </w:pPr>
            <w:r w:rsidRPr="00D07ABD">
              <w:rPr>
                <w:rFonts w:cs="Arial"/>
                <w:b/>
                <w:sz w:val="22"/>
                <w:szCs w:val="22"/>
              </w:rPr>
              <w:t>Ultra-Short Dated Bond Funds</w:t>
            </w:r>
            <w:r w:rsidRPr="00D07ABD">
              <w:rPr>
                <w:rFonts w:cs="Arial"/>
                <w:b/>
                <w:iCs/>
                <w:spacing w:val="0"/>
                <w:sz w:val="22"/>
                <w:szCs w:val="22"/>
              </w:rPr>
              <w:t xml:space="preserve"> with a credit score of 1.25</w:t>
            </w:r>
          </w:p>
        </w:tc>
        <w:tc>
          <w:tcPr>
            <w:tcW w:w="1825" w:type="dxa"/>
            <w:tcBorders>
              <w:top w:val="single" w:sz="6" w:space="0" w:color="000000"/>
              <w:left w:val="single" w:sz="4" w:space="0" w:color="auto"/>
              <w:bottom w:val="single" w:sz="6" w:space="0" w:color="000000"/>
              <w:right w:val="single" w:sz="4" w:space="0" w:color="auto"/>
            </w:tcBorders>
          </w:tcPr>
          <w:p w14:paraId="216A2C9D"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 xml:space="preserve"> Dark </w:t>
            </w:r>
            <w:r>
              <w:rPr>
                <w:rFonts w:ascii="Arial" w:hAnsi="Arial" w:cs="Arial"/>
                <w:b/>
                <w:iCs/>
                <w:szCs w:val="22"/>
              </w:rPr>
              <w:t>P</w:t>
            </w:r>
            <w:r w:rsidRPr="00D07ABD">
              <w:rPr>
                <w:rFonts w:ascii="Arial" w:hAnsi="Arial" w:cs="Arial"/>
                <w:b/>
                <w:iCs/>
                <w:szCs w:val="22"/>
              </w:rPr>
              <w:t>ink / AAA</w:t>
            </w:r>
          </w:p>
        </w:tc>
        <w:tc>
          <w:tcPr>
            <w:tcW w:w="1263" w:type="dxa"/>
            <w:tcBorders>
              <w:top w:val="single" w:sz="6" w:space="0" w:color="000000"/>
              <w:left w:val="single" w:sz="4" w:space="0" w:color="auto"/>
              <w:bottom w:val="single" w:sz="6" w:space="0" w:color="000000"/>
              <w:right w:val="single" w:sz="4" w:space="0" w:color="auto"/>
            </w:tcBorders>
          </w:tcPr>
          <w:p w14:paraId="013E4414"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w:t>
            </w:r>
            <w:r w:rsidR="00966E39">
              <w:rPr>
                <w:rFonts w:ascii="Arial" w:hAnsi="Arial" w:cs="Arial"/>
                <w:b/>
                <w:iCs/>
                <w:szCs w:val="22"/>
              </w:rPr>
              <w:t>5</w:t>
            </w:r>
            <w:r w:rsidRPr="00D07ABD">
              <w:rPr>
                <w:rFonts w:ascii="Arial" w:hAnsi="Arial" w:cs="Arial"/>
                <w:b/>
                <w:iCs/>
                <w:szCs w:val="22"/>
              </w:rPr>
              <w:t>m</w:t>
            </w:r>
          </w:p>
        </w:tc>
        <w:tc>
          <w:tcPr>
            <w:tcW w:w="1524" w:type="dxa"/>
            <w:tcBorders>
              <w:top w:val="single" w:sz="6" w:space="0" w:color="000000"/>
              <w:left w:val="single" w:sz="4" w:space="0" w:color="auto"/>
              <w:bottom w:val="single" w:sz="6" w:space="0" w:color="000000"/>
              <w:right w:val="single" w:sz="4" w:space="0" w:color="auto"/>
            </w:tcBorders>
          </w:tcPr>
          <w:p w14:paraId="4CC659DA"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w:t>
            </w:r>
            <w:r w:rsidR="00966E39">
              <w:rPr>
                <w:rFonts w:ascii="Arial" w:hAnsi="Arial" w:cs="Arial"/>
                <w:b/>
                <w:iCs/>
                <w:szCs w:val="22"/>
              </w:rPr>
              <w:t>5</w:t>
            </w:r>
            <w:r w:rsidRPr="00D07ABD">
              <w:rPr>
                <w:rFonts w:ascii="Arial" w:hAnsi="Arial" w:cs="Arial"/>
                <w:b/>
                <w:iCs/>
                <w:szCs w:val="22"/>
              </w:rPr>
              <w:t>m</w:t>
            </w:r>
          </w:p>
        </w:tc>
        <w:tc>
          <w:tcPr>
            <w:tcW w:w="1134" w:type="dxa"/>
            <w:tcBorders>
              <w:top w:val="single" w:sz="6" w:space="0" w:color="000000"/>
              <w:left w:val="single" w:sz="4" w:space="0" w:color="auto"/>
              <w:bottom w:val="single" w:sz="6" w:space="0" w:color="000000"/>
              <w:right w:val="single" w:sz="4" w:space="0" w:color="auto"/>
            </w:tcBorders>
          </w:tcPr>
          <w:p w14:paraId="7071EEF0"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liquid</w:t>
            </w:r>
          </w:p>
        </w:tc>
      </w:tr>
      <w:tr w:rsidR="002252C6" w14:paraId="1958AA36" w14:textId="77777777" w:rsidTr="004466E8">
        <w:trPr>
          <w:trHeight w:val="330"/>
          <w:tblCellSpacing w:w="0" w:type="dxa"/>
        </w:trPr>
        <w:tc>
          <w:tcPr>
            <w:tcW w:w="3149" w:type="dxa"/>
            <w:tcBorders>
              <w:top w:val="single" w:sz="6" w:space="0" w:color="000000"/>
              <w:left w:val="single" w:sz="4" w:space="0" w:color="auto"/>
              <w:bottom w:val="single" w:sz="4" w:space="0" w:color="auto"/>
              <w:right w:val="single" w:sz="6" w:space="0" w:color="000000"/>
            </w:tcBorders>
          </w:tcPr>
          <w:p w14:paraId="375D96CD" w14:textId="77777777" w:rsidR="001D4F84" w:rsidRPr="00D07ABD" w:rsidRDefault="00A724BF" w:rsidP="004466E8">
            <w:pPr>
              <w:rPr>
                <w:rFonts w:cs="Arial"/>
                <w:b/>
                <w:iCs/>
                <w:spacing w:val="0"/>
                <w:sz w:val="22"/>
                <w:szCs w:val="22"/>
              </w:rPr>
            </w:pPr>
            <w:r w:rsidRPr="00D07ABD">
              <w:rPr>
                <w:rFonts w:cs="Arial"/>
                <w:b/>
                <w:sz w:val="22"/>
                <w:szCs w:val="22"/>
              </w:rPr>
              <w:t>Ultra-Short Dated Bond Funds</w:t>
            </w:r>
            <w:r w:rsidRPr="00D07ABD">
              <w:rPr>
                <w:rFonts w:cs="Arial"/>
                <w:b/>
                <w:iCs/>
                <w:spacing w:val="0"/>
                <w:sz w:val="22"/>
                <w:szCs w:val="22"/>
              </w:rPr>
              <w:t xml:space="preserve"> with a credit score of 1.50</w:t>
            </w:r>
          </w:p>
        </w:tc>
        <w:tc>
          <w:tcPr>
            <w:tcW w:w="1825" w:type="dxa"/>
            <w:tcBorders>
              <w:top w:val="single" w:sz="6" w:space="0" w:color="000000"/>
              <w:left w:val="single" w:sz="4" w:space="0" w:color="auto"/>
              <w:bottom w:val="single" w:sz="4" w:space="0" w:color="auto"/>
              <w:right w:val="single" w:sz="4" w:space="0" w:color="auto"/>
            </w:tcBorders>
          </w:tcPr>
          <w:p w14:paraId="1C6EF75D"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 xml:space="preserve">Light </w:t>
            </w:r>
            <w:r>
              <w:rPr>
                <w:rFonts w:ascii="Arial" w:hAnsi="Arial" w:cs="Arial"/>
                <w:b/>
                <w:iCs/>
                <w:szCs w:val="22"/>
              </w:rPr>
              <w:t>P</w:t>
            </w:r>
            <w:r w:rsidRPr="00D07ABD">
              <w:rPr>
                <w:rFonts w:ascii="Arial" w:hAnsi="Arial" w:cs="Arial"/>
                <w:b/>
                <w:iCs/>
                <w:szCs w:val="22"/>
              </w:rPr>
              <w:t>ink / AAA</w:t>
            </w:r>
          </w:p>
        </w:tc>
        <w:tc>
          <w:tcPr>
            <w:tcW w:w="1263" w:type="dxa"/>
            <w:tcBorders>
              <w:top w:val="single" w:sz="6" w:space="0" w:color="000000"/>
              <w:left w:val="single" w:sz="4" w:space="0" w:color="auto"/>
              <w:bottom w:val="single" w:sz="4" w:space="0" w:color="auto"/>
              <w:right w:val="single" w:sz="4" w:space="0" w:color="auto"/>
            </w:tcBorders>
          </w:tcPr>
          <w:p w14:paraId="681469CC"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w:t>
            </w:r>
            <w:r w:rsidR="00966E39">
              <w:rPr>
                <w:rFonts w:ascii="Arial" w:hAnsi="Arial" w:cs="Arial"/>
                <w:b/>
                <w:iCs/>
                <w:szCs w:val="22"/>
              </w:rPr>
              <w:t>5</w:t>
            </w:r>
            <w:r w:rsidRPr="00D07ABD">
              <w:rPr>
                <w:rFonts w:ascii="Arial" w:hAnsi="Arial" w:cs="Arial"/>
                <w:b/>
                <w:iCs/>
                <w:szCs w:val="22"/>
              </w:rPr>
              <w:t>m</w:t>
            </w:r>
          </w:p>
        </w:tc>
        <w:tc>
          <w:tcPr>
            <w:tcW w:w="1524" w:type="dxa"/>
            <w:tcBorders>
              <w:top w:val="single" w:sz="6" w:space="0" w:color="000000"/>
              <w:left w:val="single" w:sz="4" w:space="0" w:color="auto"/>
              <w:bottom w:val="single" w:sz="4" w:space="0" w:color="auto"/>
              <w:right w:val="single" w:sz="4" w:space="0" w:color="auto"/>
            </w:tcBorders>
          </w:tcPr>
          <w:p w14:paraId="722BAE18"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w:t>
            </w:r>
            <w:r w:rsidR="00966E39">
              <w:rPr>
                <w:rFonts w:ascii="Arial" w:hAnsi="Arial" w:cs="Arial"/>
                <w:b/>
                <w:iCs/>
                <w:szCs w:val="22"/>
              </w:rPr>
              <w:t>5</w:t>
            </w:r>
            <w:r w:rsidRPr="00D07ABD">
              <w:rPr>
                <w:rFonts w:ascii="Arial" w:hAnsi="Arial" w:cs="Arial"/>
                <w:b/>
                <w:iCs/>
                <w:szCs w:val="22"/>
              </w:rPr>
              <w:t>m</w:t>
            </w:r>
          </w:p>
        </w:tc>
        <w:tc>
          <w:tcPr>
            <w:tcW w:w="1134" w:type="dxa"/>
            <w:tcBorders>
              <w:top w:val="single" w:sz="6" w:space="0" w:color="000000"/>
              <w:left w:val="single" w:sz="4" w:space="0" w:color="auto"/>
              <w:bottom w:val="single" w:sz="4" w:space="0" w:color="auto"/>
              <w:right w:val="single" w:sz="4" w:space="0" w:color="auto"/>
            </w:tcBorders>
          </w:tcPr>
          <w:p w14:paraId="10C2B9A5" w14:textId="77777777" w:rsidR="001D4F84" w:rsidRPr="00D07ABD" w:rsidRDefault="00A724BF" w:rsidP="004466E8">
            <w:pPr>
              <w:pStyle w:val="BodyText2"/>
              <w:spacing w:after="120"/>
              <w:jc w:val="center"/>
              <w:rPr>
                <w:rFonts w:ascii="Arial" w:hAnsi="Arial" w:cs="Arial"/>
                <w:b/>
                <w:iCs/>
                <w:szCs w:val="22"/>
              </w:rPr>
            </w:pPr>
            <w:r w:rsidRPr="00D07ABD">
              <w:rPr>
                <w:rFonts w:ascii="Arial" w:hAnsi="Arial" w:cs="Arial"/>
                <w:b/>
                <w:iCs/>
                <w:szCs w:val="22"/>
              </w:rPr>
              <w:t>liquid</w:t>
            </w:r>
          </w:p>
        </w:tc>
      </w:tr>
    </w:tbl>
    <w:p w14:paraId="7986A717" w14:textId="77777777" w:rsidR="00092A52" w:rsidRPr="00B66EDA" w:rsidRDefault="00092A52" w:rsidP="00092A52">
      <w:pPr>
        <w:pStyle w:val="BodyText"/>
        <w:spacing w:after="120"/>
        <w:jc w:val="both"/>
        <w:rPr>
          <w:rFonts w:ascii="Arial" w:hAnsi="Arial" w:cs="Arial"/>
          <w:iCs/>
          <w:sz w:val="20"/>
          <w:szCs w:val="20"/>
          <w:lang w:val="en-GB"/>
        </w:rPr>
      </w:pPr>
    </w:p>
    <w:p w14:paraId="3DC51684" w14:textId="77777777" w:rsidR="00092A52" w:rsidRPr="00B66EDA" w:rsidRDefault="00A724BF" w:rsidP="00092A52">
      <w:pPr>
        <w:pStyle w:val="BodyText"/>
        <w:spacing w:after="120"/>
        <w:jc w:val="both"/>
        <w:rPr>
          <w:rFonts w:ascii="Arial" w:hAnsi="Arial" w:cs="Arial"/>
          <w:iCs/>
          <w:sz w:val="20"/>
          <w:szCs w:val="20"/>
          <w:lang w:val="en-GB"/>
        </w:rPr>
      </w:pPr>
      <w:r w:rsidRPr="005B79F6">
        <w:rPr>
          <w:rFonts w:ascii="Arial" w:hAnsi="Arial" w:cs="Arial"/>
          <w:iCs/>
          <w:sz w:val="20"/>
          <w:szCs w:val="20"/>
          <w:lang w:val="en-GB"/>
        </w:rPr>
        <w:t xml:space="preserve">The proposed criteria for specified and non-specified investments are shown in </w:t>
      </w:r>
      <w:r w:rsidR="00416DEC">
        <w:rPr>
          <w:rFonts w:ascii="Arial" w:hAnsi="Arial" w:cs="Arial"/>
          <w:iCs/>
          <w:sz w:val="20"/>
          <w:szCs w:val="20"/>
          <w:lang w:val="en-GB"/>
        </w:rPr>
        <w:t>section 6.</w:t>
      </w:r>
      <w:r w:rsidRPr="00B66EDA">
        <w:rPr>
          <w:rFonts w:ascii="Arial" w:hAnsi="Arial" w:cs="Arial"/>
          <w:iCs/>
          <w:sz w:val="20"/>
          <w:szCs w:val="20"/>
          <w:lang w:val="en-GB"/>
        </w:rPr>
        <w:t xml:space="preserve"> </w:t>
      </w:r>
    </w:p>
    <w:p w14:paraId="4CFD94DA" w14:textId="77777777" w:rsidR="006F6A18" w:rsidRPr="00B66EDA" w:rsidRDefault="006F6A18" w:rsidP="006F6A18">
      <w:pPr>
        <w:jc w:val="both"/>
        <w:rPr>
          <w:rFonts w:eastAsia="Bliss 2 Regular" w:cs="Arial"/>
          <w:b/>
          <w:color w:val="0D0D0D" w:themeColor="text1" w:themeTint="F2"/>
          <w:spacing w:val="0"/>
        </w:rPr>
      </w:pPr>
    </w:p>
    <w:p w14:paraId="3744534D" w14:textId="77777777" w:rsidR="006F6A18" w:rsidRPr="00B66EDA" w:rsidRDefault="00A724BF" w:rsidP="006F6A18">
      <w:pPr>
        <w:jc w:val="both"/>
        <w:rPr>
          <w:rFonts w:eastAsia="Bliss 2 Regular" w:cs="Arial"/>
          <w:b/>
          <w:color w:val="0D0D0D" w:themeColor="text1" w:themeTint="F2"/>
          <w:spacing w:val="0"/>
        </w:rPr>
      </w:pPr>
      <w:r w:rsidRPr="00B66EDA">
        <w:rPr>
          <w:rFonts w:eastAsia="Bliss 2 Regular" w:cs="Arial"/>
          <w:b/>
          <w:color w:val="0D0D0D" w:themeColor="text1" w:themeTint="F2"/>
          <w:spacing w:val="0"/>
        </w:rPr>
        <w:t>Creditworthiness.</w:t>
      </w:r>
    </w:p>
    <w:p w14:paraId="533C7E39" w14:textId="77777777" w:rsidR="005B79F6" w:rsidRPr="005B79F6" w:rsidRDefault="00A724BF" w:rsidP="005B79F6">
      <w:pPr>
        <w:jc w:val="both"/>
        <w:rPr>
          <w:rFonts w:eastAsia="Bliss 2 Regular" w:cs="Arial"/>
          <w:bCs/>
          <w:color w:val="0D0D0D" w:themeColor="text1" w:themeTint="F2"/>
          <w:spacing w:val="0"/>
          <w:lang w:val="en-AU"/>
        </w:rPr>
      </w:pPr>
      <w:r w:rsidRPr="001D4F84">
        <w:rPr>
          <w:rFonts w:eastAsia="Bliss 2 Regular" w:cs="Arial"/>
          <w:bCs/>
          <w:color w:val="0D0D0D" w:themeColor="text1" w:themeTint="F2"/>
          <w:spacing w:val="0"/>
        </w:rPr>
        <w:t>Significant levels of downgrades to Short and Long-Term credit ratings have not materialised since the crisis in March 2020. In the main, where they did change, any alterations were limited to Outlooks. However, more recently the UK sovereign debt rating has been placed on Negative Outlook by the three major rating agencies in the wake of the Truss/Kwarteng unfunded tax-cuts policy.  Although the Sunak/Hunt government has calmed markets, the outcome of the rating agency reviews is unknown at present, but it is possible the UK sovereign debt rating will be downgraded.  Accordingly, when setting minimum sovereign debt ratings, this Authority will not set a minimum rating for the UK</w:t>
      </w:r>
      <w:r w:rsidRPr="005B79F6">
        <w:rPr>
          <w:rFonts w:eastAsia="Bliss 2 Regular" w:cs="Arial"/>
          <w:bCs/>
          <w:color w:val="0D0D0D" w:themeColor="text1" w:themeTint="F2"/>
          <w:spacing w:val="0"/>
        </w:rPr>
        <w:t xml:space="preserve">. </w:t>
      </w:r>
    </w:p>
    <w:p w14:paraId="52C334F6" w14:textId="77777777" w:rsidR="006F6A18" w:rsidRPr="00B66EDA" w:rsidRDefault="006F6A18" w:rsidP="006F6A18">
      <w:pPr>
        <w:jc w:val="both"/>
        <w:rPr>
          <w:rFonts w:eastAsia="Bliss 2 Regular" w:cs="Arial"/>
          <w:bCs/>
          <w:color w:val="0D0D0D" w:themeColor="text1" w:themeTint="F2"/>
          <w:spacing w:val="0"/>
          <w:lang w:val="en-AU"/>
        </w:rPr>
      </w:pPr>
    </w:p>
    <w:p w14:paraId="25D39C8F" w14:textId="77777777" w:rsidR="006F6A18" w:rsidRPr="00B66EDA" w:rsidRDefault="006F6A18" w:rsidP="006F6A18">
      <w:pPr>
        <w:jc w:val="both"/>
        <w:rPr>
          <w:rFonts w:eastAsia="Bliss 2 Regular" w:cs="Arial"/>
          <w:bCs/>
          <w:color w:val="0D0D0D" w:themeColor="text1" w:themeTint="F2"/>
          <w:spacing w:val="0"/>
          <w:lang w:val="en-AU"/>
        </w:rPr>
      </w:pPr>
    </w:p>
    <w:p w14:paraId="4229CF99" w14:textId="77777777" w:rsidR="006F6A18" w:rsidRPr="00B66EDA" w:rsidRDefault="00A724BF" w:rsidP="006F6A18">
      <w:pPr>
        <w:jc w:val="both"/>
        <w:rPr>
          <w:rFonts w:eastAsia="Bliss 2 Regular" w:cs="Arial"/>
          <w:b/>
          <w:bCs/>
          <w:color w:val="0D0D0D" w:themeColor="text1" w:themeTint="F2"/>
          <w:spacing w:val="0"/>
        </w:rPr>
      </w:pPr>
      <w:r w:rsidRPr="00B66EDA">
        <w:rPr>
          <w:rFonts w:eastAsia="Bliss 2 Regular" w:cs="Arial"/>
          <w:b/>
          <w:bCs/>
          <w:color w:val="0D0D0D" w:themeColor="text1" w:themeTint="F2"/>
          <w:spacing w:val="0"/>
        </w:rPr>
        <w:t>CDS prices</w:t>
      </w:r>
    </w:p>
    <w:p w14:paraId="590DFC85" w14:textId="77777777" w:rsidR="005B79F6" w:rsidRPr="005B79F6" w:rsidRDefault="00A724BF" w:rsidP="005B79F6">
      <w:pPr>
        <w:jc w:val="both"/>
        <w:rPr>
          <w:rFonts w:eastAsia="Bliss 2 Regular" w:cs="Arial"/>
          <w:bCs/>
          <w:color w:val="0D0D0D" w:themeColor="text1" w:themeTint="F2"/>
          <w:spacing w:val="0"/>
        </w:rPr>
      </w:pPr>
      <w:r w:rsidRPr="001D4F84">
        <w:rPr>
          <w:rFonts w:eastAsia="Bliss 2 Regular" w:cs="Arial"/>
          <w:bCs/>
          <w:color w:val="0D0D0D" w:themeColor="text1" w:themeTint="F2"/>
          <w:spacing w:val="0"/>
        </w:rPr>
        <w:t>Although bank CDS prices, (these are market indicators of credit risk), spiked upwards during the days of the Truss/Kwarteng government, they have returned to more average levels since then. However, sentiment can easily shift, so it will remain important to undertake continual monitoring of all aspects of risk and return in the current circumstances. Link monitor CDS prices as part of their creditworthiness service to local authorities and the Authority has access to this information via its Link-provided Passport portal</w:t>
      </w:r>
      <w:r w:rsidRPr="005B79F6">
        <w:rPr>
          <w:rFonts w:eastAsia="Bliss 2 Regular" w:cs="Arial"/>
          <w:bCs/>
          <w:color w:val="0D0D0D" w:themeColor="text1" w:themeTint="F2"/>
          <w:spacing w:val="0"/>
        </w:rPr>
        <w:t>.</w:t>
      </w:r>
    </w:p>
    <w:p w14:paraId="089D4F4A" w14:textId="77777777" w:rsidR="006F6A18" w:rsidRPr="00B66EDA" w:rsidRDefault="006F6A18" w:rsidP="006F6A18">
      <w:pPr>
        <w:jc w:val="both"/>
        <w:rPr>
          <w:rFonts w:cs="Arial"/>
          <w:color w:val="0D0D0D" w:themeColor="text1" w:themeTint="F2"/>
        </w:rPr>
      </w:pPr>
    </w:p>
    <w:p w14:paraId="15F77C9D" w14:textId="77777777" w:rsidR="00EE1D53" w:rsidRPr="00B66EDA" w:rsidRDefault="00EE1D53" w:rsidP="00092A52">
      <w:pPr>
        <w:pStyle w:val="BodyText"/>
        <w:spacing w:after="120"/>
        <w:jc w:val="both"/>
        <w:rPr>
          <w:rFonts w:ascii="Arial" w:hAnsi="Arial" w:cs="Arial"/>
          <w:iCs/>
          <w:sz w:val="20"/>
          <w:szCs w:val="20"/>
          <w:lang w:val="en-GB"/>
        </w:rPr>
      </w:pPr>
    </w:p>
    <w:p w14:paraId="52744563" w14:textId="77777777" w:rsidR="00EC2051" w:rsidRPr="00B66EDA" w:rsidRDefault="00A724BF" w:rsidP="00A279B6">
      <w:pPr>
        <w:pStyle w:val="subhead"/>
        <w:numPr>
          <w:ilvl w:val="0"/>
          <w:numId w:val="0"/>
        </w:numPr>
        <w:rPr>
          <w:noProof w:val="0"/>
          <w:sz w:val="20"/>
          <w:szCs w:val="20"/>
        </w:rPr>
      </w:pPr>
      <w:bookmarkStart w:id="132" w:name="_Toc56008283"/>
      <w:proofErr w:type="gramStart"/>
      <w:r w:rsidRPr="00B66EDA">
        <w:rPr>
          <w:noProof w:val="0"/>
          <w:sz w:val="20"/>
          <w:szCs w:val="20"/>
        </w:rPr>
        <w:t xml:space="preserve">4.3  </w:t>
      </w:r>
      <w:r w:rsidRPr="00B66EDA">
        <w:rPr>
          <w:noProof w:val="0"/>
          <w:sz w:val="20"/>
          <w:szCs w:val="20"/>
        </w:rPr>
        <w:tab/>
      </w:r>
      <w:proofErr w:type="gramEnd"/>
      <w:r w:rsidRPr="00B66EDA">
        <w:rPr>
          <w:noProof w:val="0"/>
          <w:sz w:val="20"/>
          <w:szCs w:val="20"/>
        </w:rPr>
        <w:t>Other limits</w:t>
      </w:r>
      <w:bookmarkEnd w:id="132"/>
    </w:p>
    <w:p w14:paraId="5196C333" w14:textId="77777777" w:rsidR="00092A52" w:rsidRPr="00B66EDA" w:rsidRDefault="00A724BF" w:rsidP="00092A52">
      <w:pPr>
        <w:pStyle w:val="BodyText"/>
        <w:spacing w:after="120"/>
        <w:jc w:val="both"/>
        <w:rPr>
          <w:rFonts w:ascii="Arial" w:hAnsi="Arial" w:cs="Arial"/>
          <w:iCs/>
          <w:sz w:val="20"/>
          <w:szCs w:val="20"/>
          <w:lang w:val="en-GB"/>
        </w:rPr>
      </w:pPr>
      <w:r w:rsidRPr="00B66EDA">
        <w:rPr>
          <w:rFonts w:ascii="Arial" w:hAnsi="Arial" w:cs="Arial"/>
          <w:iCs/>
          <w:sz w:val="20"/>
          <w:szCs w:val="20"/>
          <w:lang w:val="en-GB"/>
        </w:rPr>
        <w:t xml:space="preserve">Due care will be taken to consider the exposure of the Council’s total investment portfolio to non-specified investments, countries, </w:t>
      </w:r>
      <w:proofErr w:type="gramStart"/>
      <w:r w:rsidRPr="00B66EDA">
        <w:rPr>
          <w:rFonts w:ascii="Arial" w:hAnsi="Arial" w:cs="Arial"/>
          <w:iCs/>
          <w:sz w:val="20"/>
          <w:szCs w:val="20"/>
          <w:lang w:val="en-GB"/>
        </w:rPr>
        <w:t>groups</w:t>
      </w:r>
      <w:proofErr w:type="gramEnd"/>
      <w:r w:rsidRPr="00B66EDA">
        <w:rPr>
          <w:rFonts w:ascii="Arial" w:hAnsi="Arial" w:cs="Arial"/>
          <w:iCs/>
          <w:sz w:val="20"/>
          <w:szCs w:val="20"/>
          <w:lang w:val="en-GB"/>
        </w:rPr>
        <w:t xml:space="preserve"> and sectors.  </w:t>
      </w:r>
    </w:p>
    <w:p w14:paraId="1FCB6C5F" w14:textId="77777777" w:rsidR="00092A52" w:rsidRPr="00B66EDA" w:rsidRDefault="00A724BF" w:rsidP="00CF69B5">
      <w:pPr>
        <w:pStyle w:val="ListParagraph"/>
        <w:numPr>
          <w:ilvl w:val="0"/>
          <w:numId w:val="22"/>
        </w:numPr>
        <w:tabs>
          <w:tab w:val="left" w:pos="360"/>
        </w:tabs>
        <w:spacing w:before="45" w:after="120"/>
        <w:jc w:val="both"/>
        <w:rPr>
          <w:rFonts w:ascii="Arial" w:hAnsi="Arial" w:cs="Arial"/>
          <w:i/>
          <w:iCs/>
          <w:color w:val="0000FF"/>
          <w:sz w:val="20"/>
          <w:szCs w:val="20"/>
        </w:rPr>
      </w:pPr>
      <w:r w:rsidRPr="00B66EDA">
        <w:rPr>
          <w:rFonts w:ascii="Arial" w:hAnsi="Arial" w:cs="Arial"/>
          <w:b/>
          <w:color w:val="0D0D0D" w:themeColor="text1" w:themeTint="F2"/>
          <w:sz w:val="20"/>
          <w:szCs w:val="20"/>
        </w:rPr>
        <w:t xml:space="preserve">Non-specified treasury management investment limit. </w:t>
      </w:r>
      <w:r w:rsidRPr="00B66EDA">
        <w:rPr>
          <w:rFonts w:ascii="Arial" w:hAnsi="Arial" w:cs="Arial"/>
          <w:color w:val="0D0D0D" w:themeColor="text1" w:themeTint="F2"/>
          <w:sz w:val="20"/>
          <w:szCs w:val="20"/>
        </w:rPr>
        <w:t>The Council has determined that it will limit the maximum total exposure of treasury management investments to non-specified treasury management investments as being 50% of the total treasury management investment portfolio.</w:t>
      </w:r>
    </w:p>
    <w:p w14:paraId="5A09411E" w14:textId="77777777" w:rsidR="00092A52" w:rsidRPr="00B66EDA" w:rsidRDefault="00A724BF" w:rsidP="00CF69B5">
      <w:pPr>
        <w:pStyle w:val="ListParagraph"/>
        <w:numPr>
          <w:ilvl w:val="0"/>
          <w:numId w:val="22"/>
        </w:numPr>
        <w:tabs>
          <w:tab w:val="left" w:pos="360"/>
        </w:tabs>
        <w:spacing w:before="45" w:after="120"/>
        <w:jc w:val="both"/>
        <w:rPr>
          <w:rFonts w:ascii="Arial" w:hAnsi="Arial" w:cs="Arial"/>
          <w:i/>
          <w:iCs/>
          <w:color w:val="0000FF"/>
          <w:sz w:val="20"/>
          <w:szCs w:val="20"/>
        </w:rPr>
      </w:pPr>
      <w:r w:rsidRPr="00B66EDA">
        <w:rPr>
          <w:rFonts w:ascii="Arial" w:hAnsi="Arial" w:cs="Arial"/>
          <w:b/>
          <w:color w:val="0D0D0D" w:themeColor="text1" w:themeTint="F2"/>
          <w:sz w:val="20"/>
          <w:szCs w:val="20"/>
        </w:rPr>
        <w:t>Country limit.</w:t>
      </w:r>
      <w:r w:rsidRPr="00B66EDA">
        <w:rPr>
          <w:rFonts w:ascii="Arial" w:hAnsi="Arial" w:cs="Arial"/>
          <w:color w:val="0D0D0D" w:themeColor="text1" w:themeTint="F2"/>
          <w:sz w:val="20"/>
          <w:szCs w:val="20"/>
        </w:rPr>
        <w:t xml:space="preserve"> The Council has determined that it will only use approved counterparties </w:t>
      </w:r>
      <w:r w:rsidRPr="00B66EDA">
        <w:rPr>
          <w:rFonts w:ascii="Arial" w:hAnsi="Arial" w:cs="Arial"/>
          <w:sz w:val="20"/>
          <w:szCs w:val="20"/>
        </w:rPr>
        <w:t xml:space="preserve">from the UK and from countries with a </w:t>
      </w:r>
      <w:r w:rsidRPr="00B66EDA">
        <w:rPr>
          <w:rFonts w:ascii="Arial" w:hAnsi="Arial" w:cs="Arial"/>
          <w:b/>
          <w:sz w:val="20"/>
          <w:szCs w:val="20"/>
        </w:rPr>
        <w:t xml:space="preserve">minimum sovereign credit rating of </w:t>
      </w:r>
      <w:r w:rsidRPr="00B66EDA">
        <w:rPr>
          <w:rFonts w:ascii="Arial" w:hAnsi="Arial" w:cs="Arial"/>
          <w:b/>
          <w:i/>
          <w:sz w:val="20"/>
          <w:szCs w:val="20"/>
        </w:rPr>
        <w:t>AA</w:t>
      </w:r>
      <w:r w:rsidR="00EC5F59">
        <w:rPr>
          <w:rFonts w:ascii="Arial" w:hAnsi="Arial" w:cs="Arial"/>
          <w:b/>
          <w:i/>
          <w:sz w:val="20"/>
          <w:szCs w:val="20"/>
        </w:rPr>
        <w:t>-</w:t>
      </w:r>
      <w:r w:rsidRPr="00B66EDA">
        <w:rPr>
          <w:rFonts w:ascii="Arial" w:hAnsi="Arial" w:cs="Arial"/>
          <w:b/>
          <w:i/>
          <w:sz w:val="20"/>
          <w:szCs w:val="20"/>
        </w:rPr>
        <w:t xml:space="preserve"> </w:t>
      </w:r>
      <w:r w:rsidRPr="00B66EDA">
        <w:rPr>
          <w:rFonts w:ascii="Arial" w:hAnsi="Arial" w:cs="Arial"/>
          <w:sz w:val="20"/>
          <w:szCs w:val="20"/>
        </w:rPr>
        <w:t xml:space="preserve">from Fitch or equivalent. The list of countries that qualify using this credit criteria as at the date of this report are shown in </w:t>
      </w:r>
      <w:r w:rsidR="00416DEC">
        <w:rPr>
          <w:rFonts w:ascii="Arial" w:hAnsi="Arial" w:cs="Arial"/>
          <w:sz w:val="20"/>
          <w:szCs w:val="20"/>
        </w:rPr>
        <w:t>section 7</w:t>
      </w:r>
      <w:r w:rsidRPr="00B66EDA">
        <w:rPr>
          <w:rFonts w:ascii="Arial" w:hAnsi="Arial" w:cs="Arial"/>
          <w:sz w:val="20"/>
          <w:szCs w:val="20"/>
        </w:rPr>
        <w:t xml:space="preserve">.  This list </w:t>
      </w:r>
      <w:r w:rsidR="00416DEC">
        <w:rPr>
          <w:rFonts w:ascii="Arial" w:hAnsi="Arial" w:cs="Arial"/>
          <w:sz w:val="20"/>
          <w:szCs w:val="20"/>
        </w:rPr>
        <w:t>may</w:t>
      </w:r>
      <w:r w:rsidRPr="00B66EDA">
        <w:rPr>
          <w:rFonts w:ascii="Arial" w:hAnsi="Arial" w:cs="Arial"/>
          <w:sz w:val="20"/>
          <w:szCs w:val="20"/>
        </w:rPr>
        <w:t xml:space="preserve"> be added to, or deducted from, by officers should ratings change in accordance with this policy.</w:t>
      </w:r>
    </w:p>
    <w:p w14:paraId="3013F61D" w14:textId="77777777" w:rsidR="00092A52" w:rsidRPr="00B66EDA" w:rsidRDefault="00A724BF" w:rsidP="00CF69B5">
      <w:pPr>
        <w:pStyle w:val="ListParagraph"/>
        <w:numPr>
          <w:ilvl w:val="0"/>
          <w:numId w:val="22"/>
        </w:numPr>
        <w:tabs>
          <w:tab w:val="left" w:pos="360"/>
        </w:tabs>
        <w:spacing w:before="45" w:after="120"/>
        <w:jc w:val="both"/>
        <w:rPr>
          <w:rFonts w:ascii="Arial" w:hAnsi="Arial" w:cs="Arial"/>
          <w:i/>
          <w:iCs/>
          <w:color w:val="0000FF"/>
          <w:sz w:val="20"/>
          <w:szCs w:val="20"/>
        </w:rPr>
      </w:pPr>
      <w:r w:rsidRPr="00B66EDA">
        <w:rPr>
          <w:rFonts w:ascii="Arial" w:hAnsi="Arial" w:cs="Arial"/>
          <w:b/>
          <w:iCs/>
          <w:sz w:val="20"/>
          <w:szCs w:val="20"/>
        </w:rPr>
        <w:t>Other limits.</w:t>
      </w:r>
      <w:r w:rsidRPr="00B66EDA">
        <w:rPr>
          <w:rFonts w:ascii="Arial" w:hAnsi="Arial" w:cs="Arial"/>
          <w:iCs/>
          <w:sz w:val="20"/>
          <w:szCs w:val="20"/>
        </w:rPr>
        <w:t xml:space="preserve"> In addition:</w:t>
      </w:r>
    </w:p>
    <w:p w14:paraId="08D584B0" w14:textId="77777777" w:rsidR="00092A52" w:rsidRPr="00B66EDA" w:rsidRDefault="00A724BF" w:rsidP="00CF69B5">
      <w:pPr>
        <w:pStyle w:val="BodyText"/>
        <w:numPr>
          <w:ilvl w:val="0"/>
          <w:numId w:val="9"/>
        </w:numPr>
        <w:spacing w:after="120"/>
        <w:jc w:val="both"/>
        <w:rPr>
          <w:rFonts w:ascii="Arial" w:hAnsi="Arial" w:cs="Arial"/>
          <w:i/>
          <w:iCs/>
          <w:color w:val="0000FF"/>
          <w:sz w:val="20"/>
          <w:szCs w:val="20"/>
          <w:lang w:val="en-GB"/>
        </w:rPr>
      </w:pPr>
      <w:r w:rsidRPr="00B66EDA">
        <w:rPr>
          <w:rFonts w:ascii="Arial" w:hAnsi="Arial" w:cs="Arial"/>
          <w:iCs/>
          <w:sz w:val="20"/>
          <w:szCs w:val="20"/>
          <w:lang w:val="en-GB"/>
        </w:rPr>
        <w:t xml:space="preserve">no more than 50% will be placed with any non-UK country at any </w:t>
      </w:r>
      <w:proofErr w:type="gramStart"/>
      <w:r w:rsidRPr="00B66EDA">
        <w:rPr>
          <w:rFonts w:ascii="Arial" w:hAnsi="Arial" w:cs="Arial"/>
          <w:iCs/>
          <w:sz w:val="20"/>
          <w:szCs w:val="20"/>
          <w:lang w:val="en-GB"/>
        </w:rPr>
        <w:t>time;</w:t>
      </w:r>
      <w:proofErr w:type="gramEnd"/>
    </w:p>
    <w:p w14:paraId="025018BA" w14:textId="77777777" w:rsidR="00092A52" w:rsidRPr="00B66EDA" w:rsidRDefault="00A724BF" w:rsidP="00CF69B5">
      <w:pPr>
        <w:pStyle w:val="BodyText"/>
        <w:numPr>
          <w:ilvl w:val="0"/>
          <w:numId w:val="9"/>
        </w:numPr>
        <w:spacing w:after="120"/>
        <w:jc w:val="both"/>
        <w:rPr>
          <w:rFonts w:ascii="Arial" w:hAnsi="Arial" w:cs="Arial"/>
          <w:i/>
          <w:iCs/>
          <w:color w:val="0000FF"/>
          <w:sz w:val="20"/>
          <w:szCs w:val="20"/>
          <w:lang w:val="en-GB"/>
        </w:rPr>
      </w:pPr>
      <w:r w:rsidRPr="00B66EDA">
        <w:rPr>
          <w:rFonts w:ascii="Arial" w:hAnsi="Arial" w:cs="Arial"/>
          <w:iCs/>
          <w:sz w:val="20"/>
          <w:szCs w:val="20"/>
          <w:lang w:val="en-GB"/>
        </w:rPr>
        <w:t xml:space="preserve">limits in place above will apply to a group of </w:t>
      </w:r>
      <w:proofErr w:type="gramStart"/>
      <w:r w:rsidRPr="00B66EDA">
        <w:rPr>
          <w:rFonts w:ascii="Arial" w:hAnsi="Arial" w:cs="Arial"/>
          <w:iCs/>
          <w:sz w:val="20"/>
          <w:szCs w:val="20"/>
          <w:lang w:val="en-GB"/>
        </w:rPr>
        <w:t>companies;</w:t>
      </w:r>
      <w:proofErr w:type="gramEnd"/>
    </w:p>
    <w:p w14:paraId="55D1414E" w14:textId="77777777" w:rsidR="00092A52" w:rsidRPr="00B66EDA" w:rsidRDefault="00A724BF" w:rsidP="00CF69B5">
      <w:pPr>
        <w:pStyle w:val="BodyText"/>
        <w:numPr>
          <w:ilvl w:val="0"/>
          <w:numId w:val="9"/>
        </w:numPr>
        <w:spacing w:after="120"/>
        <w:jc w:val="both"/>
        <w:rPr>
          <w:rFonts w:ascii="Arial" w:hAnsi="Arial" w:cs="Arial"/>
          <w:i/>
          <w:iCs/>
          <w:sz w:val="20"/>
          <w:szCs w:val="20"/>
          <w:lang w:val="en-GB"/>
        </w:rPr>
      </w:pPr>
      <w:r w:rsidRPr="00B66EDA">
        <w:rPr>
          <w:rFonts w:ascii="Arial" w:hAnsi="Arial" w:cs="Arial"/>
          <w:iCs/>
          <w:sz w:val="20"/>
          <w:szCs w:val="20"/>
          <w:lang w:val="en-GB"/>
        </w:rPr>
        <w:t>sector limits will be monitored regularly for appropriateness.</w:t>
      </w:r>
    </w:p>
    <w:p w14:paraId="57C32DD8" w14:textId="77777777" w:rsidR="00EB796A" w:rsidRPr="00B66EDA" w:rsidRDefault="00A724BF" w:rsidP="000963F8">
      <w:pPr>
        <w:pStyle w:val="subhead"/>
        <w:numPr>
          <w:ilvl w:val="0"/>
          <w:numId w:val="0"/>
        </w:numPr>
        <w:rPr>
          <w:noProof w:val="0"/>
          <w:sz w:val="20"/>
          <w:szCs w:val="20"/>
        </w:rPr>
      </w:pPr>
      <w:bookmarkStart w:id="133" w:name="_Toc56008284"/>
      <w:r w:rsidRPr="00B66EDA">
        <w:rPr>
          <w:noProof w:val="0"/>
          <w:sz w:val="20"/>
          <w:szCs w:val="20"/>
        </w:rPr>
        <w:lastRenderedPageBreak/>
        <w:t xml:space="preserve">4.4 </w:t>
      </w:r>
      <w:r w:rsidRPr="00B66EDA">
        <w:rPr>
          <w:noProof w:val="0"/>
          <w:sz w:val="20"/>
          <w:szCs w:val="20"/>
        </w:rPr>
        <w:tab/>
        <w:t>Investment strategy</w:t>
      </w:r>
      <w:bookmarkEnd w:id="133"/>
    </w:p>
    <w:p w14:paraId="75C2A682" w14:textId="77777777" w:rsidR="002C47B4" w:rsidRPr="002C47B4" w:rsidRDefault="00A724BF" w:rsidP="002C47B4">
      <w:pPr>
        <w:spacing w:after="210"/>
        <w:jc w:val="both"/>
        <w:rPr>
          <w:rFonts w:cs="Arial"/>
        </w:rPr>
      </w:pPr>
      <w:r w:rsidRPr="00B66EDA">
        <w:rPr>
          <w:rFonts w:cs="Arial"/>
          <w:b/>
        </w:rPr>
        <w:t>In-house funds.</w:t>
      </w:r>
      <w:r w:rsidRPr="00B66EDA">
        <w:rPr>
          <w:rFonts w:cs="Arial"/>
          <w:i/>
        </w:rPr>
        <w:t xml:space="preserve"> </w:t>
      </w:r>
      <w:r w:rsidRPr="002C47B4">
        <w:rPr>
          <w:rFonts w:cs="Arial"/>
        </w:rPr>
        <w:t>Investments will be made with reference to the core balance and cash flow requirements and the outlook for short-term interest rates (i.e., rates for investments up to 12 months). Greater returns are usually obtainable by investing for longer periods.  The current shape of the yield curve suggests that is the case at present, but there is the prospect of Bank Rate peaking in the first half of 2023 and possibly reducing as early as the latter part of 2023 so an agile investment strategy would be appropriate to optimise returns.</w:t>
      </w:r>
    </w:p>
    <w:p w14:paraId="477AD0C6" w14:textId="77777777" w:rsidR="00A22F3D" w:rsidRPr="00B66EDA" w:rsidRDefault="00A724BF" w:rsidP="002C47B4">
      <w:pPr>
        <w:spacing w:after="210"/>
        <w:jc w:val="both"/>
        <w:rPr>
          <w:rFonts w:cs="Arial"/>
        </w:rPr>
      </w:pPr>
      <w:r w:rsidRPr="002C47B4">
        <w:rPr>
          <w:rFonts w:cs="Arial"/>
        </w:rPr>
        <w:t>Accordingly, while most cash balances are required in order to manage the ups and downs of cash flow (amend as appropriate), where cash sums can be identified that could be invested for longer periods, the value to be obtained from longer-term investments will be carefully assessed.</w:t>
      </w:r>
    </w:p>
    <w:p w14:paraId="4DA80609" w14:textId="77777777" w:rsidR="00A22F3D" w:rsidRPr="00B66EDA" w:rsidRDefault="00A724BF" w:rsidP="00A22F3D">
      <w:pPr>
        <w:tabs>
          <w:tab w:val="left" w:pos="360"/>
        </w:tabs>
        <w:jc w:val="both"/>
        <w:rPr>
          <w:rFonts w:cs="Arial"/>
          <w:color w:val="0D0D0D" w:themeColor="text1" w:themeTint="F2"/>
        </w:rPr>
      </w:pPr>
      <w:r w:rsidRPr="00B66EDA">
        <w:rPr>
          <w:rFonts w:cs="Arial"/>
          <w:b/>
          <w:color w:val="0D0D0D" w:themeColor="text1" w:themeTint="F2"/>
        </w:rPr>
        <w:t>Investment returns expectations.</w:t>
      </w:r>
      <w:r w:rsidRPr="00B66EDA">
        <w:rPr>
          <w:rFonts w:cs="Arial"/>
          <w:color w:val="0D0D0D" w:themeColor="text1" w:themeTint="F2"/>
        </w:rPr>
        <w:t xml:space="preserve"> </w:t>
      </w:r>
    </w:p>
    <w:p w14:paraId="41FC5366" w14:textId="77777777" w:rsidR="005B79F6" w:rsidRPr="005B79F6" w:rsidRDefault="00A724BF" w:rsidP="005B79F6">
      <w:pPr>
        <w:rPr>
          <w:rFonts w:cs="Arial"/>
          <w:color w:val="0D0D0D" w:themeColor="text1" w:themeTint="F2"/>
          <w:lang w:val="en-AU" w:eastAsia="en-GB"/>
        </w:rPr>
      </w:pPr>
      <w:r w:rsidRPr="005B79F6">
        <w:rPr>
          <w:rFonts w:cs="Arial"/>
          <w:color w:val="0D0D0D" w:themeColor="text1" w:themeTint="F2"/>
          <w:lang w:eastAsia="en-GB"/>
        </w:rPr>
        <w:t xml:space="preserve">The current forecast shown in </w:t>
      </w:r>
      <w:r w:rsidRPr="00006E5E">
        <w:rPr>
          <w:rFonts w:cs="Arial"/>
          <w:lang w:eastAsia="en-GB"/>
        </w:rPr>
        <w:t xml:space="preserve">paragraph 3.3, includes a forecast </w:t>
      </w:r>
      <w:r w:rsidRPr="005B79F6">
        <w:rPr>
          <w:rFonts w:cs="Arial"/>
          <w:color w:val="0D0D0D" w:themeColor="text1" w:themeTint="F2"/>
          <w:lang w:eastAsia="en-GB"/>
        </w:rPr>
        <w:t xml:space="preserve">for Bank Rate </w:t>
      </w:r>
      <w:r w:rsidR="00E00BE7">
        <w:rPr>
          <w:rFonts w:cs="Arial"/>
          <w:color w:val="0D0D0D" w:themeColor="text1" w:themeTint="F2"/>
          <w:lang w:eastAsia="en-GB"/>
        </w:rPr>
        <w:t>to reach 4.5% in Q2 2023</w:t>
      </w:r>
      <w:r w:rsidRPr="005B79F6">
        <w:rPr>
          <w:rFonts w:cs="Arial"/>
          <w:color w:val="0D0D0D" w:themeColor="text1" w:themeTint="F2"/>
          <w:lang w:eastAsia="en-GB"/>
        </w:rPr>
        <w:t xml:space="preserve">.  </w:t>
      </w:r>
    </w:p>
    <w:p w14:paraId="08183884" w14:textId="77777777" w:rsidR="005B79F6" w:rsidRPr="005B79F6" w:rsidRDefault="005B79F6" w:rsidP="005B79F6">
      <w:pPr>
        <w:rPr>
          <w:rFonts w:cs="Arial"/>
          <w:color w:val="0D0D0D" w:themeColor="text1" w:themeTint="F2"/>
          <w:lang w:eastAsia="en-GB"/>
        </w:rPr>
      </w:pPr>
    </w:p>
    <w:p w14:paraId="243CC5DE" w14:textId="77777777" w:rsidR="005B79F6" w:rsidRPr="005B79F6" w:rsidRDefault="00A724BF" w:rsidP="005B79F6">
      <w:pPr>
        <w:rPr>
          <w:rFonts w:cs="Arial"/>
          <w:i/>
          <w:color w:val="0D0D0D" w:themeColor="text1" w:themeTint="F2"/>
          <w:lang w:eastAsia="en-GB"/>
        </w:rPr>
      </w:pPr>
      <w:r w:rsidRPr="005B79F6">
        <w:rPr>
          <w:rFonts w:cs="Arial"/>
          <w:color w:val="0D0D0D" w:themeColor="text1" w:themeTint="F2"/>
          <w:lang w:eastAsia="en-GB"/>
        </w:rPr>
        <w:t>The suggested budgeted investment earnings rates for returns on investments placed for periods up to about three months during each financial year, (based on a first increase in Bank Rate in quarter 2 of 2022), are as follows.:</w:t>
      </w:r>
      <w:r w:rsidRPr="005B79F6">
        <w:rPr>
          <w:rFonts w:cs="Arial"/>
          <w:i/>
          <w:color w:val="0D0D0D" w:themeColor="text1" w:themeTint="F2"/>
          <w:lang w:eastAsia="en-GB"/>
        </w:rPr>
        <w:t xml:space="preserve"> </w:t>
      </w:r>
    </w:p>
    <w:p w14:paraId="4A7FAC0A" w14:textId="77777777" w:rsidR="005B79F6" w:rsidRDefault="005B79F6">
      <w:pPr>
        <w:rPr>
          <w:rFonts w:cs="Arial"/>
          <w:color w:val="0D0D0D" w:themeColor="text1" w:themeTint="F2"/>
        </w:rPr>
      </w:pPr>
    </w:p>
    <w:tbl>
      <w:tblPr>
        <w:tblStyle w:val="DefaultTable4"/>
        <w:tblW w:w="5670" w:type="dxa"/>
        <w:tblLook w:val="04A0" w:firstRow="1" w:lastRow="0" w:firstColumn="1" w:lastColumn="0" w:noHBand="0" w:noVBand="1"/>
      </w:tblPr>
      <w:tblGrid>
        <w:gridCol w:w="3418"/>
        <w:gridCol w:w="2252"/>
      </w:tblGrid>
      <w:tr w:rsidR="002252C6" w14:paraId="7415E7B6" w14:textId="77777777" w:rsidTr="002252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8" w:type="dxa"/>
          </w:tcPr>
          <w:p w14:paraId="1EF7E609" w14:textId="77777777" w:rsidR="00E00BE7" w:rsidRPr="00C7522A" w:rsidRDefault="00A724BF" w:rsidP="004466E8">
            <w:pPr>
              <w:spacing w:before="120" w:after="120"/>
              <w:jc w:val="center"/>
              <w:rPr>
                <w:rFonts w:cs="Arial"/>
                <w:spacing w:val="0"/>
                <w:sz w:val="22"/>
                <w:szCs w:val="22"/>
              </w:rPr>
            </w:pPr>
            <w:r w:rsidRPr="00C7522A">
              <w:rPr>
                <w:rFonts w:cs="Arial"/>
                <w:spacing w:val="0"/>
                <w:sz w:val="22"/>
                <w:szCs w:val="22"/>
              </w:rPr>
              <w:t>Average earnings in each year</w:t>
            </w:r>
          </w:p>
        </w:tc>
        <w:tc>
          <w:tcPr>
            <w:tcW w:w="2252" w:type="dxa"/>
          </w:tcPr>
          <w:p w14:paraId="2740980D" w14:textId="77777777" w:rsidR="00E00BE7" w:rsidRPr="00C7522A" w:rsidRDefault="00E00BE7" w:rsidP="004466E8">
            <w:pPr>
              <w:spacing w:before="120" w:after="120"/>
              <w:jc w:val="center"/>
              <w:cnfStyle w:val="100000000000" w:firstRow="1" w:lastRow="0" w:firstColumn="0" w:lastColumn="0" w:oddVBand="0" w:evenVBand="0" w:oddHBand="0" w:evenHBand="0" w:firstRowFirstColumn="0" w:firstRowLastColumn="0" w:lastRowFirstColumn="0" w:lastRowLastColumn="0"/>
              <w:rPr>
                <w:rFonts w:cs="Arial"/>
                <w:spacing w:val="0"/>
                <w:sz w:val="22"/>
                <w:szCs w:val="22"/>
              </w:rPr>
            </w:pPr>
          </w:p>
        </w:tc>
      </w:tr>
      <w:tr w:rsidR="002252C6" w14:paraId="5B1A1438" w14:textId="77777777" w:rsidTr="002252C6">
        <w:tc>
          <w:tcPr>
            <w:cnfStyle w:val="001000000000" w:firstRow="0" w:lastRow="0" w:firstColumn="1" w:lastColumn="0" w:oddVBand="0" w:evenVBand="0" w:oddHBand="0" w:evenHBand="0" w:firstRowFirstColumn="0" w:firstRowLastColumn="0" w:lastRowFirstColumn="0" w:lastRowLastColumn="0"/>
            <w:tcW w:w="3418" w:type="dxa"/>
          </w:tcPr>
          <w:p w14:paraId="07672BC7" w14:textId="77777777" w:rsidR="00E00BE7" w:rsidRPr="00C7522A" w:rsidRDefault="00A724BF" w:rsidP="004466E8">
            <w:pPr>
              <w:spacing w:before="120" w:after="120"/>
              <w:jc w:val="center"/>
              <w:rPr>
                <w:rFonts w:cs="Arial"/>
                <w:color w:val="0D0D0D"/>
                <w:spacing w:val="0"/>
                <w:sz w:val="22"/>
                <w:szCs w:val="22"/>
              </w:rPr>
            </w:pPr>
            <w:r w:rsidRPr="00C7522A">
              <w:rPr>
                <w:rFonts w:cs="Arial"/>
                <w:color w:val="0D0D0D"/>
                <w:spacing w:val="0"/>
                <w:sz w:val="22"/>
                <w:szCs w:val="22"/>
              </w:rPr>
              <w:t>2022/23 (remainder)</w:t>
            </w:r>
          </w:p>
        </w:tc>
        <w:tc>
          <w:tcPr>
            <w:tcW w:w="2252" w:type="dxa"/>
          </w:tcPr>
          <w:p w14:paraId="1C07321C" w14:textId="77777777" w:rsidR="00E00BE7" w:rsidRPr="00C7522A" w:rsidRDefault="00A724BF" w:rsidP="004466E8">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0D0D0D"/>
                <w:spacing w:val="0"/>
                <w:sz w:val="22"/>
                <w:szCs w:val="22"/>
              </w:rPr>
            </w:pPr>
            <w:r w:rsidRPr="00C7522A">
              <w:rPr>
                <w:rFonts w:cs="Arial"/>
                <w:color w:val="0D0D0D"/>
                <w:spacing w:val="0"/>
                <w:sz w:val="22"/>
                <w:szCs w:val="22"/>
              </w:rPr>
              <w:t>3.95%</w:t>
            </w:r>
          </w:p>
        </w:tc>
      </w:tr>
      <w:tr w:rsidR="002252C6" w14:paraId="70EA5635" w14:textId="77777777" w:rsidTr="002252C6">
        <w:tc>
          <w:tcPr>
            <w:cnfStyle w:val="001000000000" w:firstRow="0" w:lastRow="0" w:firstColumn="1" w:lastColumn="0" w:oddVBand="0" w:evenVBand="0" w:oddHBand="0" w:evenHBand="0" w:firstRowFirstColumn="0" w:firstRowLastColumn="0" w:lastRowFirstColumn="0" w:lastRowLastColumn="0"/>
            <w:tcW w:w="3418" w:type="dxa"/>
          </w:tcPr>
          <w:p w14:paraId="12867D17" w14:textId="77777777" w:rsidR="00E00BE7" w:rsidRPr="00C7522A" w:rsidRDefault="00A724BF" w:rsidP="004466E8">
            <w:pPr>
              <w:spacing w:before="120" w:after="120"/>
              <w:jc w:val="center"/>
              <w:rPr>
                <w:rFonts w:cs="Arial"/>
                <w:color w:val="0D0D0D"/>
                <w:spacing w:val="0"/>
                <w:sz w:val="22"/>
                <w:szCs w:val="22"/>
              </w:rPr>
            </w:pPr>
            <w:r w:rsidRPr="00C7522A">
              <w:rPr>
                <w:rFonts w:cs="Arial"/>
                <w:color w:val="0D0D0D"/>
                <w:spacing w:val="0"/>
                <w:sz w:val="22"/>
                <w:szCs w:val="22"/>
              </w:rPr>
              <w:t>2023/24</w:t>
            </w:r>
          </w:p>
        </w:tc>
        <w:tc>
          <w:tcPr>
            <w:tcW w:w="2252" w:type="dxa"/>
          </w:tcPr>
          <w:p w14:paraId="4C799F8A" w14:textId="77777777" w:rsidR="00E00BE7" w:rsidRPr="00C7522A" w:rsidRDefault="00A724BF" w:rsidP="004466E8">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0D0D0D"/>
                <w:spacing w:val="0"/>
                <w:sz w:val="22"/>
                <w:szCs w:val="22"/>
              </w:rPr>
            </w:pPr>
            <w:r w:rsidRPr="00C7522A">
              <w:rPr>
                <w:rFonts w:cs="Arial"/>
                <w:color w:val="0D0D0D"/>
                <w:spacing w:val="0"/>
                <w:sz w:val="22"/>
                <w:szCs w:val="22"/>
              </w:rPr>
              <w:t>4.40%</w:t>
            </w:r>
          </w:p>
        </w:tc>
      </w:tr>
      <w:tr w:rsidR="002252C6" w14:paraId="7B4538E0" w14:textId="77777777" w:rsidTr="002252C6">
        <w:tc>
          <w:tcPr>
            <w:cnfStyle w:val="001000000000" w:firstRow="0" w:lastRow="0" w:firstColumn="1" w:lastColumn="0" w:oddVBand="0" w:evenVBand="0" w:oddHBand="0" w:evenHBand="0" w:firstRowFirstColumn="0" w:firstRowLastColumn="0" w:lastRowFirstColumn="0" w:lastRowLastColumn="0"/>
            <w:tcW w:w="3418" w:type="dxa"/>
          </w:tcPr>
          <w:p w14:paraId="68FA30BA" w14:textId="77777777" w:rsidR="00E00BE7" w:rsidRPr="00C7522A" w:rsidRDefault="00A724BF" w:rsidP="004466E8">
            <w:pPr>
              <w:spacing w:before="120" w:after="120"/>
              <w:jc w:val="center"/>
              <w:rPr>
                <w:rFonts w:cs="Arial"/>
                <w:color w:val="0D0D0D"/>
                <w:spacing w:val="0"/>
                <w:sz w:val="22"/>
                <w:szCs w:val="22"/>
              </w:rPr>
            </w:pPr>
            <w:r w:rsidRPr="00C7522A">
              <w:rPr>
                <w:rFonts w:cs="Arial"/>
                <w:color w:val="0D0D0D"/>
                <w:spacing w:val="0"/>
                <w:sz w:val="22"/>
                <w:szCs w:val="22"/>
              </w:rPr>
              <w:t>2024/25</w:t>
            </w:r>
          </w:p>
        </w:tc>
        <w:tc>
          <w:tcPr>
            <w:tcW w:w="2252" w:type="dxa"/>
          </w:tcPr>
          <w:p w14:paraId="612C4AFA" w14:textId="77777777" w:rsidR="00E00BE7" w:rsidRPr="00C7522A" w:rsidRDefault="00A724BF" w:rsidP="004466E8">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0D0D0D"/>
                <w:spacing w:val="0"/>
                <w:sz w:val="22"/>
                <w:szCs w:val="22"/>
              </w:rPr>
            </w:pPr>
            <w:r w:rsidRPr="00C7522A">
              <w:rPr>
                <w:rFonts w:cs="Arial"/>
                <w:color w:val="0D0D0D"/>
                <w:spacing w:val="0"/>
                <w:sz w:val="22"/>
                <w:szCs w:val="22"/>
              </w:rPr>
              <w:t>3.30%</w:t>
            </w:r>
          </w:p>
        </w:tc>
      </w:tr>
      <w:tr w:rsidR="002252C6" w14:paraId="0D27219B" w14:textId="77777777" w:rsidTr="002252C6">
        <w:tc>
          <w:tcPr>
            <w:cnfStyle w:val="001000000000" w:firstRow="0" w:lastRow="0" w:firstColumn="1" w:lastColumn="0" w:oddVBand="0" w:evenVBand="0" w:oddHBand="0" w:evenHBand="0" w:firstRowFirstColumn="0" w:firstRowLastColumn="0" w:lastRowFirstColumn="0" w:lastRowLastColumn="0"/>
            <w:tcW w:w="3418" w:type="dxa"/>
          </w:tcPr>
          <w:p w14:paraId="29A3E456" w14:textId="77777777" w:rsidR="00E00BE7" w:rsidRPr="00C7522A" w:rsidRDefault="00A724BF" w:rsidP="004466E8">
            <w:pPr>
              <w:spacing w:before="120" w:after="120"/>
              <w:jc w:val="center"/>
              <w:rPr>
                <w:rFonts w:cs="Arial"/>
                <w:color w:val="0D0D0D"/>
                <w:spacing w:val="0"/>
                <w:sz w:val="22"/>
                <w:szCs w:val="22"/>
              </w:rPr>
            </w:pPr>
            <w:r w:rsidRPr="00C7522A">
              <w:rPr>
                <w:rFonts w:cs="Arial"/>
                <w:color w:val="0D0D0D"/>
                <w:spacing w:val="0"/>
                <w:sz w:val="22"/>
                <w:szCs w:val="22"/>
              </w:rPr>
              <w:t>2025/26</w:t>
            </w:r>
          </w:p>
        </w:tc>
        <w:tc>
          <w:tcPr>
            <w:tcW w:w="2252" w:type="dxa"/>
          </w:tcPr>
          <w:p w14:paraId="0F7B6D92" w14:textId="77777777" w:rsidR="00E00BE7" w:rsidRPr="00C7522A" w:rsidRDefault="00A724BF" w:rsidP="004466E8">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0D0D0D"/>
                <w:spacing w:val="0"/>
                <w:sz w:val="22"/>
                <w:szCs w:val="22"/>
              </w:rPr>
            </w:pPr>
            <w:r w:rsidRPr="00C7522A">
              <w:rPr>
                <w:rFonts w:cs="Arial"/>
                <w:color w:val="0D0D0D"/>
                <w:spacing w:val="0"/>
                <w:sz w:val="22"/>
                <w:szCs w:val="22"/>
              </w:rPr>
              <w:t>2.60%</w:t>
            </w:r>
          </w:p>
        </w:tc>
      </w:tr>
      <w:tr w:rsidR="002252C6" w14:paraId="5AE66EF0" w14:textId="77777777" w:rsidTr="002252C6">
        <w:tc>
          <w:tcPr>
            <w:cnfStyle w:val="001000000000" w:firstRow="0" w:lastRow="0" w:firstColumn="1" w:lastColumn="0" w:oddVBand="0" w:evenVBand="0" w:oddHBand="0" w:evenHBand="0" w:firstRowFirstColumn="0" w:firstRowLastColumn="0" w:lastRowFirstColumn="0" w:lastRowLastColumn="0"/>
            <w:tcW w:w="3418" w:type="dxa"/>
          </w:tcPr>
          <w:p w14:paraId="3140E730" w14:textId="77777777" w:rsidR="00E00BE7" w:rsidRPr="00C7522A" w:rsidRDefault="00A724BF" w:rsidP="004466E8">
            <w:pPr>
              <w:spacing w:before="120" w:after="120"/>
              <w:jc w:val="center"/>
              <w:rPr>
                <w:rFonts w:cs="Arial"/>
                <w:color w:val="0D0D0D"/>
                <w:spacing w:val="0"/>
                <w:sz w:val="22"/>
                <w:szCs w:val="22"/>
              </w:rPr>
            </w:pPr>
            <w:r w:rsidRPr="00C7522A">
              <w:rPr>
                <w:rFonts w:cs="Arial"/>
                <w:color w:val="0D0D0D"/>
                <w:spacing w:val="0"/>
                <w:sz w:val="22"/>
                <w:szCs w:val="22"/>
              </w:rPr>
              <w:t>2026/27</w:t>
            </w:r>
          </w:p>
        </w:tc>
        <w:tc>
          <w:tcPr>
            <w:tcW w:w="2252" w:type="dxa"/>
          </w:tcPr>
          <w:p w14:paraId="21F1F8E7" w14:textId="77777777" w:rsidR="00E00BE7" w:rsidRPr="00C7522A" w:rsidRDefault="00A724BF" w:rsidP="004466E8">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0D0D0D"/>
                <w:spacing w:val="0"/>
                <w:sz w:val="22"/>
                <w:szCs w:val="22"/>
              </w:rPr>
            </w:pPr>
            <w:r w:rsidRPr="00C7522A">
              <w:rPr>
                <w:rFonts w:cs="Arial"/>
                <w:color w:val="0D0D0D"/>
                <w:spacing w:val="0"/>
                <w:sz w:val="22"/>
                <w:szCs w:val="22"/>
              </w:rPr>
              <w:t>2.50%</w:t>
            </w:r>
          </w:p>
        </w:tc>
      </w:tr>
      <w:tr w:rsidR="002252C6" w14:paraId="2D526194" w14:textId="77777777" w:rsidTr="002252C6">
        <w:tc>
          <w:tcPr>
            <w:cnfStyle w:val="001000000000" w:firstRow="0" w:lastRow="0" w:firstColumn="1" w:lastColumn="0" w:oddVBand="0" w:evenVBand="0" w:oddHBand="0" w:evenHBand="0" w:firstRowFirstColumn="0" w:firstRowLastColumn="0" w:lastRowFirstColumn="0" w:lastRowLastColumn="0"/>
            <w:tcW w:w="3418" w:type="dxa"/>
          </w:tcPr>
          <w:p w14:paraId="553ACFCB" w14:textId="77777777" w:rsidR="00E00BE7" w:rsidRPr="00C7522A" w:rsidRDefault="00A724BF" w:rsidP="004466E8">
            <w:pPr>
              <w:spacing w:before="120" w:after="120"/>
              <w:jc w:val="center"/>
              <w:rPr>
                <w:rFonts w:cs="Arial"/>
                <w:color w:val="0D0D0D"/>
                <w:spacing w:val="0"/>
                <w:sz w:val="22"/>
                <w:szCs w:val="22"/>
              </w:rPr>
            </w:pPr>
            <w:r w:rsidRPr="00C7522A">
              <w:rPr>
                <w:rFonts w:cs="Arial"/>
                <w:color w:val="0D0D0D"/>
                <w:spacing w:val="0"/>
                <w:sz w:val="22"/>
                <w:szCs w:val="22"/>
              </w:rPr>
              <w:t>Years 6 to 10</w:t>
            </w:r>
          </w:p>
        </w:tc>
        <w:tc>
          <w:tcPr>
            <w:tcW w:w="2252" w:type="dxa"/>
          </w:tcPr>
          <w:p w14:paraId="4C427A15" w14:textId="77777777" w:rsidR="00E00BE7" w:rsidRPr="00C7522A" w:rsidRDefault="00A724BF" w:rsidP="004466E8">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0D0D0D"/>
                <w:spacing w:val="0"/>
                <w:sz w:val="22"/>
                <w:szCs w:val="22"/>
              </w:rPr>
            </w:pPr>
            <w:r w:rsidRPr="00C7522A">
              <w:rPr>
                <w:rFonts w:cs="Arial"/>
                <w:color w:val="0D0D0D"/>
                <w:spacing w:val="0"/>
                <w:sz w:val="22"/>
                <w:szCs w:val="22"/>
              </w:rPr>
              <w:t>2.80%</w:t>
            </w:r>
          </w:p>
        </w:tc>
      </w:tr>
      <w:tr w:rsidR="002252C6" w14:paraId="136DEE8B" w14:textId="77777777" w:rsidTr="002252C6">
        <w:tc>
          <w:tcPr>
            <w:cnfStyle w:val="001000000000" w:firstRow="0" w:lastRow="0" w:firstColumn="1" w:lastColumn="0" w:oddVBand="0" w:evenVBand="0" w:oddHBand="0" w:evenHBand="0" w:firstRowFirstColumn="0" w:firstRowLastColumn="0" w:lastRowFirstColumn="0" w:lastRowLastColumn="0"/>
            <w:tcW w:w="3418" w:type="dxa"/>
          </w:tcPr>
          <w:p w14:paraId="4C763E76" w14:textId="77777777" w:rsidR="00E00BE7" w:rsidRPr="00C7522A" w:rsidRDefault="00A724BF" w:rsidP="004466E8">
            <w:pPr>
              <w:spacing w:before="120" w:after="120"/>
              <w:jc w:val="center"/>
              <w:rPr>
                <w:rFonts w:cs="Arial"/>
                <w:color w:val="0D0D0D"/>
                <w:spacing w:val="0"/>
                <w:sz w:val="22"/>
                <w:szCs w:val="22"/>
              </w:rPr>
            </w:pPr>
            <w:r w:rsidRPr="00C7522A">
              <w:rPr>
                <w:rFonts w:cs="Arial"/>
                <w:color w:val="0D0D0D"/>
                <w:spacing w:val="0"/>
                <w:sz w:val="22"/>
                <w:szCs w:val="22"/>
              </w:rPr>
              <w:t>Years 10+</w:t>
            </w:r>
          </w:p>
        </w:tc>
        <w:tc>
          <w:tcPr>
            <w:tcW w:w="2252" w:type="dxa"/>
          </w:tcPr>
          <w:p w14:paraId="6F470A95" w14:textId="77777777" w:rsidR="00E00BE7" w:rsidRPr="00C7522A" w:rsidRDefault="00A724BF" w:rsidP="004466E8">
            <w:pPr>
              <w:spacing w:before="120" w:after="120"/>
              <w:jc w:val="center"/>
              <w:cnfStyle w:val="000000000000" w:firstRow="0" w:lastRow="0" w:firstColumn="0" w:lastColumn="0" w:oddVBand="0" w:evenVBand="0" w:oddHBand="0" w:evenHBand="0" w:firstRowFirstColumn="0" w:firstRowLastColumn="0" w:lastRowFirstColumn="0" w:lastRowLastColumn="0"/>
              <w:rPr>
                <w:rFonts w:cs="Arial"/>
                <w:color w:val="0D0D0D"/>
                <w:spacing w:val="0"/>
                <w:sz w:val="22"/>
                <w:szCs w:val="22"/>
              </w:rPr>
            </w:pPr>
            <w:r w:rsidRPr="00C7522A">
              <w:rPr>
                <w:rFonts w:cs="Arial"/>
                <w:color w:val="0D0D0D"/>
                <w:spacing w:val="0"/>
                <w:sz w:val="22"/>
                <w:szCs w:val="22"/>
              </w:rPr>
              <w:t>2.80%</w:t>
            </w:r>
          </w:p>
        </w:tc>
      </w:tr>
    </w:tbl>
    <w:p w14:paraId="7B64FA12" w14:textId="77777777" w:rsidR="005B79F6" w:rsidRDefault="005B79F6">
      <w:pPr>
        <w:rPr>
          <w:rFonts w:cs="Arial"/>
          <w:color w:val="0D0D0D" w:themeColor="text1" w:themeTint="F2"/>
        </w:rPr>
      </w:pPr>
    </w:p>
    <w:p w14:paraId="6BDA91DA" w14:textId="77777777" w:rsidR="00E00BE7" w:rsidRDefault="00A724BF">
      <w:pPr>
        <w:rPr>
          <w:rFonts w:cs="Arial"/>
          <w:color w:val="0D0D0D" w:themeColor="text1" w:themeTint="F2"/>
        </w:rPr>
      </w:pPr>
      <w:r w:rsidRPr="00E00BE7">
        <w:rPr>
          <w:rFonts w:cs="Arial"/>
          <w:color w:val="0D0D0D" w:themeColor="text1" w:themeTint="F2"/>
        </w:rPr>
        <w:t xml:space="preserve">As there are so many variables at this time, caution must be exercised in respect of all interest rate forecasts.  </w:t>
      </w:r>
    </w:p>
    <w:p w14:paraId="3B1A4837" w14:textId="77777777" w:rsidR="00C36851" w:rsidRDefault="00A724BF">
      <w:pPr>
        <w:rPr>
          <w:rFonts w:cs="Arial"/>
          <w:color w:val="0D0D0D" w:themeColor="text1" w:themeTint="F2"/>
        </w:rPr>
      </w:pPr>
      <w:r w:rsidRPr="00EA5673">
        <w:rPr>
          <w:rFonts w:cs="Arial"/>
          <w:color w:val="0D0D0D" w:themeColor="text1" w:themeTint="F2"/>
        </w:rPr>
        <w:t xml:space="preserve">For its cash flow generated balances, the Council will seek to utilise its business reserve instant access and notice accounts, money market funds and short-dated deposits, </w:t>
      </w:r>
      <w:proofErr w:type="gramStart"/>
      <w:r w:rsidRPr="00EA5673">
        <w:rPr>
          <w:rFonts w:cs="Arial"/>
          <w:color w:val="0D0D0D" w:themeColor="text1" w:themeTint="F2"/>
        </w:rPr>
        <w:t>in order to</w:t>
      </w:r>
      <w:proofErr w:type="gramEnd"/>
      <w:r w:rsidRPr="00EA5673">
        <w:rPr>
          <w:rFonts w:cs="Arial"/>
          <w:color w:val="0D0D0D" w:themeColor="text1" w:themeTint="F2"/>
        </w:rPr>
        <w:t xml:space="preserve"> benefit from the compounding of interest</w:t>
      </w:r>
      <w:r w:rsidR="00B02E25">
        <w:rPr>
          <w:rFonts w:cs="Arial"/>
          <w:color w:val="0D0D0D" w:themeColor="text1" w:themeTint="F2"/>
        </w:rPr>
        <w:br w:type="page"/>
      </w:r>
    </w:p>
    <w:p w14:paraId="7A512EBC" w14:textId="77777777" w:rsidR="008353F2" w:rsidRPr="00B66EDA" w:rsidRDefault="00A724BF" w:rsidP="008353F2">
      <w:pPr>
        <w:spacing w:before="90"/>
        <w:jc w:val="both"/>
        <w:rPr>
          <w:rFonts w:cs="Arial"/>
          <w:color w:val="000000"/>
        </w:rPr>
      </w:pPr>
      <w:r w:rsidRPr="00B66EDA">
        <w:rPr>
          <w:rFonts w:cs="Arial"/>
          <w:b/>
          <w:color w:val="000000"/>
        </w:rPr>
        <w:lastRenderedPageBreak/>
        <w:t>Investment treasury indicator and limit</w:t>
      </w:r>
      <w:r w:rsidRPr="00B66EDA">
        <w:rPr>
          <w:rFonts w:cs="Arial"/>
          <w:color w:val="000000"/>
        </w:rPr>
        <w:t xml:space="preserve"> - total principal funds invested for greater than 365 days. These limits are set </w:t>
      </w:r>
      <w:proofErr w:type="gramStart"/>
      <w:r w:rsidRPr="00B66EDA">
        <w:rPr>
          <w:rFonts w:cs="Arial"/>
          <w:color w:val="000000"/>
        </w:rPr>
        <w:t>with regard to</w:t>
      </w:r>
      <w:proofErr w:type="gramEnd"/>
      <w:r w:rsidRPr="00B66EDA">
        <w:rPr>
          <w:rFonts w:cs="Arial"/>
          <w:color w:val="000000"/>
        </w:rPr>
        <w:t xml:space="preserve"> the Council’s liquidity requirements and to reduce the need for early sale of an investment and are based on the availability of funds after each year-end.</w:t>
      </w:r>
    </w:p>
    <w:p w14:paraId="177ACA73" w14:textId="77777777" w:rsidR="009A0AA4" w:rsidRPr="00B66EDA" w:rsidRDefault="009A0AA4" w:rsidP="008353F2">
      <w:pPr>
        <w:jc w:val="both"/>
        <w:rPr>
          <w:rFonts w:cs="Arial"/>
        </w:rPr>
      </w:pPr>
    </w:p>
    <w:p w14:paraId="5CB563D5" w14:textId="77777777" w:rsidR="00C36851" w:rsidRDefault="00A724BF" w:rsidP="008353F2">
      <w:pPr>
        <w:jc w:val="both"/>
        <w:rPr>
          <w:rFonts w:cs="Arial"/>
        </w:rPr>
      </w:pPr>
      <w:r w:rsidRPr="00B66EDA">
        <w:rPr>
          <w:rFonts w:cs="Arial"/>
        </w:rPr>
        <w:t xml:space="preserve">The Council is asked to approve the following treasury indicator and limit: </w:t>
      </w:r>
    </w:p>
    <w:p w14:paraId="35C3DC37" w14:textId="77777777" w:rsidR="008353F2" w:rsidRPr="00B66EDA" w:rsidRDefault="008353F2" w:rsidP="008353F2">
      <w:pPr>
        <w:jc w:val="both"/>
        <w:rPr>
          <w:rFonts w:cs="Arial"/>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799"/>
        <w:gridCol w:w="1979"/>
        <w:gridCol w:w="1799"/>
      </w:tblGrid>
      <w:tr w:rsidR="002252C6" w14:paraId="03B34C29" w14:textId="77777777" w:rsidTr="00A33FAE">
        <w:tc>
          <w:tcPr>
            <w:tcW w:w="8565" w:type="dxa"/>
            <w:gridSpan w:val="4"/>
            <w:tcBorders>
              <w:top w:val="single" w:sz="4" w:space="0" w:color="auto"/>
              <w:left w:val="single" w:sz="4" w:space="0" w:color="auto"/>
              <w:bottom w:val="single" w:sz="4" w:space="0" w:color="auto"/>
              <w:right w:val="single" w:sz="4" w:space="0" w:color="auto"/>
            </w:tcBorders>
            <w:shd w:val="clear" w:color="auto" w:fill="C0C0C0"/>
            <w:hideMark/>
          </w:tcPr>
          <w:p w14:paraId="35E3EACB" w14:textId="77777777" w:rsidR="002D0FD9" w:rsidRPr="00B66EDA" w:rsidRDefault="00A724BF" w:rsidP="00A33FAE">
            <w:pPr>
              <w:rPr>
                <w:rFonts w:cs="Arial"/>
                <w:spacing w:val="0"/>
              </w:rPr>
            </w:pPr>
            <w:r w:rsidRPr="00B66EDA">
              <w:rPr>
                <w:rFonts w:cs="Arial"/>
                <w:b/>
                <w:bCs/>
                <w:spacing w:val="0"/>
              </w:rPr>
              <w:t>Upper limit for principal sums invested for longer than 365 days</w:t>
            </w:r>
          </w:p>
        </w:tc>
      </w:tr>
      <w:tr w:rsidR="002252C6" w14:paraId="71395429" w14:textId="77777777" w:rsidTr="00A33FAE">
        <w:trPr>
          <w:cantSplit/>
        </w:trPr>
        <w:tc>
          <w:tcPr>
            <w:tcW w:w="2988" w:type="dxa"/>
            <w:tcBorders>
              <w:top w:val="single" w:sz="4" w:space="0" w:color="auto"/>
              <w:left w:val="single" w:sz="4" w:space="0" w:color="auto"/>
              <w:bottom w:val="single" w:sz="4" w:space="0" w:color="auto"/>
              <w:right w:val="single" w:sz="4" w:space="0" w:color="auto"/>
            </w:tcBorders>
            <w:shd w:val="clear" w:color="auto" w:fill="C0C0C0"/>
            <w:hideMark/>
          </w:tcPr>
          <w:p w14:paraId="107D6F47" w14:textId="77777777" w:rsidR="002D0FD9" w:rsidRPr="00B66EDA" w:rsidRDefault="00A724BF" w:rsidP="00A33FAE">
            <w:pPr>
              <w:jc w:val="center"/>
              <w:rPr>
                <w:rFonts w:cs="Arial"/>
                <w:b/>
                <w:bCs/>
                <w:spacing w:val="0"/>
              </w:rPr>
            </w:pPr>
            <w:r w:rsidRPr="00B66EDA">
              <w:rPr>
                <w:rFonts w:cs="Arial"/>
                <w:b/>
                <w:spacing w:val="0"/>
              </w:rPr>
              <w:t>£m</w:t>
            </w:r>
          </w:p>
        </w:tc>
        <w:tc>
          <w:tcPr>
            <w:tcW w:w="1799" w:type="dxa"/>
            <w:tcBorders>
              <w:top w:val="single" w:sz="4" w:space="0" w:color="auto"/>
              <w:left w:val="single" w:sz="4" w:space="0" w:color="auto"/>
              <w:bottom w:val="single" w:sz="4" w:space="0" w:color="auto"/>
              <w:right w:val="single" w:sz="4" w:space="0" w:color="auto"/>
            </w:tcBorders>
            <w:shd w:val="clear" w:color="auto" w:fill="C0C0C0"/>
            <w:hideMark/>
          </w:tcPr>
          <w:p w14:paraId="3722BAFB" w14:textId="77777777" w:rsidR="002D0FD9" w:rsidRPr="00B66EDA" w:rsidRDefault="00A724BF" w:rsidP="002D0FD9">
            <w:pPr>
              <w:jc w:val="center"/>
              <w:rPr>
                <w:rFonts w:cs="Arial"/>
                <w:b/>
                <w:bCs/>
                <w:spacing w:val="0"/>
              </w:rPr>
            </w:pPr>
            <w:r>
              <w:rPr>
                <w:rFonts w:cs="Arial"/>
                <w:b/>
                <w:bCs/>
                <w:spacing w:val="0"/>
              </w:rPr>
              <w:t>2023/24</w:t>
            </w:r>
          </w:p>
        </w:tc>
        <w:tc>
          <w:tcPr>
            <w:tcW w:w="1979" w:type="dxa"/>
            <w:tcBorders>
              <w:top w:val="single" w:sz="4" w:space="0" w:color="auto"/>
              <w:left w:val="single" w:sz="4" w:space="0" w:color="auto"/>
              <w:bottom w:val="single" w:sz="4" w:space="0" w:color="auto"/>
              <w:right w:val="single" w:sz="4" w:space="0" w:color="auto"/>
            </w:tcBorders>
            <w:shd w:val="clear" w:color="auto" w:fill="C0C0C0"/>
            <w:hideMark/>
          </w:tcPr>
          <w:p w14:paraId="4A6BEDE6" w14:textId="77777777" w:rsidR="002D0FD9" w:rsidRPr="00B66EDA" w:rsidRDefault="00A724BF" w:rsidP="00A33FAE">
            <w:pPr>
              <w:jc w:val="center"/>
              <w:rPr>
                <w:rFonts w:cs="Arial"/>
                <w:b/>
                <w:bCs/>
                <w:spacing w:val="0"/>
              </w:rPr>
            </w:pPr>
            <w:r>
              <w:rPr>
                <w:rFonts w:cs="Arial"/>
                <w:b/>
                <w:bCs/>
                <w:spacing w:val="0"/>
              </w:rPr>
              <w:t>2024/25</w:t>
            </w:r>
          </w:p>
        </w:tc>
        <w:tc>
          <w:tcPr>
            <w:tcW w:w="1799" w:type="dxa"/>
            <w:tcBorders>
              <w:top w:val="single" w:sz="4" w:space="0" w:color="auto"/>
              <w:left w:val="single" w:sz="4" w:space="0" w:color="auto"/>
              <w:bottom w:val="single" w:sz="4" w:space="0" w:color="auto"/>
              <w:right w:val="single" w:sz="4" w:space="0" w:color="auto"/>
            </w:tcBorders>
            <w:shd w:val="clear" w:color="auto" w:fill="C0C0C0"/>
            <w:hideMark/>
          </w:tcPr>
          <w:p w14:paraId="29926BAB" w14:textId="77777777" w:rsidR="002D0FD9" w:rsidRPr="00B66EDA" w:rsidRDefault="00A724BF" w:rsidP="00A33FAE">
            <w:pPr>
              <w:jc w:val="center"/>
              <w:rPr>
                <w:rFonts w:cs="Arial"/>
                <w:b/>
                <w:bCs/>
                <w:spacing w:val="0"/>
              </w:rPr>
            </w:pPr>
            <w:r w:rsidRPr="00B66EDA">
              <w:rPr>
                <w:rFonts w:cs="Arial"/>
                <w:b/>
                <w:bCs/>
                <w:spacing w:val="0"/>
              </w:rPr>
              <w:t>202</w:t>
            </w:r>
            <w:r w:rsidR="00E00BE7">
              <w:rPr>
                <w:rFonts w:cs="Arial"/>
                <w:b/>
                <w:bCs/>
                <w:spacing w:val="0"/>
              </w:rPr>
              <w:t>5/26</w:t>
            </w:r>
          </w:p>
        </w:tc>
      </w:tr>
      <w:tr w:rsidR="002252C6" w14:paraId="2703DF24" w14:textId="77777777" w:rsidTr="00A33FAE">
        <w:tc>
          <w:tcPr>
            <w:tcW w:w="2988" w:type="dxa"/>
            <w:tcBorders>
              <w:top w:val="single" w:sz="4" w:space="0" w:color="auto"/>
              <w:left w:val="single" w:sz="4" w:space="0" w:color="auto"/>
              <w:bottom w:val="single" w:sz="4" w:space="0" w:color="auto"/>
              <w:right w:val="single" w:sz="4" w:space="0" w:color="auto"/>
            </w:tcBorders>
            <w:hideMark/>
          </w:tcPr>
          <w:p w14:paraId="3F5EAF51" w14:textId="77777777" w:rsidR="002D0FD9" w:rsidRPr="00B66EDA" w:rsidRDefault="00A724BF" w:rsidP="00A33FAE">
            <w:pPr>
              <w:rPr>
                <w:rFonts w:cs="Arial"/>
                <w:bCs/>
                <w:spacing w:val="0"/>
              </w:rPr>
            </w:pPr>
            <w:r w:rsidRPr="00B66EDA">
              <w:rPr>
                <w:rFonts w:cs="Arial"/>
                <w:bCs/>
                <w:spacing w:val="0"/>
              </w:rPr>
              <w:t>Principal sums invested for longer than 365 days</w:t>
            </w:r>
          </w:p>
        </w:tc>
        <w:tc>
          <w:tcPr>
            <w:tcW w:w="1799" w:type="dxa"/>
            <w:tcBorders>
              <w:top w:val="single" w:sz="4" w:space="0" w:color="auto"/>
              <w:left w:val="single" w:sz="4" w:space="0" w:color="auto"/>
              <w:bottom w:val="single" w:sz="4" w:space="0" w:color="auto"/>
              <w:right w:val="single" w:sz="4" w:space="0" w:color="auto"/>
            </w:tcBorders>
            <w:hideMark/>
          </w:tcPr>
          <w:p w14:paraId="2E788B2C" w14:textId="77777777" w:rsidR="002D0FD9" w:rsidRPr="00B66EDA" w:rsidRDefault="00A724BF" w:rsidP="00A33FAE">
            <w:pPr>
              <w:jc w:val="center"/>
              <w:rPr>
                <w:rFonts w:cs="Arial"/>
                <w:spacing w:val="0"/>
              </w:rPr>
            </w:pPr>
            <w:r w:rsidRPr="00B66EDA">
              <w:rPr>
                <w:rFonts w:cs="Arial"/>
                <w:spacing w:val="0"/>
              </w:rPr>
              <w:t>£10m</w:t>
            </w:r>
          </w:p>
        </w:tc>
        <w:tc>
          <w:tcPr>
            <w:tcW w:w="1979" w:type="dxa"/>
            <w:tcBorders>
              <w:top w:val="single" w:sz="4" w:space="0" w:color="auto"/>
              <w:left w:val="single" w:sz="4" w:space="0" w:color="auto"/>
              <w:bottom w:val="single" w:sz="4" w:space="0" w:color="auto"/>
              <w:right w:val="single" w:sz="4" w:space="0" w:color="auto"/>
            </w:tcBorders>
            <w:hideMark/>
          </w:tcPr>
          <w:p w14:paraId="617FDB2B" w14:textId="77777777" w:rsidR="002D0FD9" w:rsidRPr="00B66EDA" w:rsidRDefault="00A724BF" w:rsidP="00A33FAE">
            <w:pPr>
              <w:jc w:val="center"/>
              <w:rPr>
                <w:rFonts w:cs="Arial"/>
                <w:spacing w:val="0"/>
              </w:rPr>
            </w:pPr>
            <w:r w:rsidRPr="00B66EDA">
              <w:rPr>
                <w:rFonts w:cs="Arial"/>
                <w:spacing w:val="0"/>
              </w:rPr>
              <w:t>£10m</w:t>
            </w:r>
          </w:p>
        </w:tc>
        <w:tc>
          <w:tcPr>
            <w:tcW w:w="1799" w:type="dxa"/>
            <w:tcBorders>
              <w:top w:val="single" w:sz="4" w:space="0" w:color="auto"/>
              <w:left w:val="single" w:sz="4" w:space="0" w:color="auto"/>
              <w:bottom w:val="single" w:sz="4" w:space="0" w:color="auto"/>
              <w:right w:val="single" w:sz="4" w:space="0" w:color="auto"/>
            </w:tcBorders>
            <w:hideMark/>
          </w:tcPr>
          <w:p w14:paraId="0107E5B4" w14:textId="77777777" w:rsidR="002D0FD9" w:rsidRPr="00B66EDA" w:rsidRDefault="00A724BF" w:rsidP="00A33FAE">
            <w:pPr>
              <w:jc w:val="center"/>
              <w:rPr>
                <w:rFonts w:cs="Arial"/>
                <w:spacing w:val="0"/>
              </w:rPr>
            </w:pPr>
            <w:r w:rsidRPr="00B66EDA">
              <w:rPr>
                <w:rFonts w:cs="Arial"/>
                <w:spacing w:val="0"/>
              </w:rPr>
              <w:t>£10m</w:t>
            </w:r>
          </w:p>
        </w:tc>
      </w:tr>
      <w:tr w:rsidR="002252C6" w14:paraId="4FACB71E" w14:textId="77777777" w:rsidTr="00A33FAE">
        <w:trPr>
          <w:trHeight w:val="468"/>
        </w:trPr>
        <w:tc>
          <w:tcPr>
            <w:tcW w:w="2988" w:type="dxa"/>
            <w:tcBorders>
              <w:top w:val="single" w:sz="4" w:space="0" w:color="auto"/>
              <w:left w:val="single" w:sz="4" w:space="0" w:color="auto"/>
              <w:bottom w:val="single" w:sz="4" w:space="0" w:color="auto"/>
              <w:right w:val="single" w:sz="4" w:space="0" w:color="auto"/>
            </w:tcBorders>
            <w:hideMark/>
          </w:tcPr>
          <w:p w14:paraId="5A943D1F" w14:textId="77777777" w:rsidR="002D0FD9" w:rsidRPr="00B66EDA" w:rsidRDefault="00A724BF" w:rsidP="002D0FD9">
            <w:pPr>
              <w:rPr>
                <w:rFonts w:cs="Arial"/>
                <w:bCs/>
                <w:spacing w:val="0"/>
              </w:rPr>
            </w:pPr>
            <w:r w:rsidRPr="00B66EDA">
              <w:rPr>
                <w:rFonts w:cs="Arial"/>
                <w:bCs/>
                <w:spacing w:val="0"/>
              </w:rPr>
              <w:t xml:space="preserve">Current investments as at </w:t>
            </w:r>
            <w:r w:rsidRPr="00B66EDA">
              <w:rPr>
                <w:rFonts w:cs="Arial"/>
                <w:i/>
              </w:rPr>
              <w:t>31/12/2</w:t>
            </w:r>
            <w:r w:rsidR="00E00BE7">
              <w:rPr>
                <w:rFonts w:cs="Arial"/>
                <w:i/>
              </w:rPr>
              <w:t>2</w:t>
            </w:r>
            <w:r w:rsidRPr="00B66EDA">
              <w:rPr>
                <w:rFonts w:cs="Arial"/>
                <w:i/>
              </w:rPr>
              <w:t xml:space="preserve"> </w:t>
            </w:r>
            <w:proofErr w:type="gramStart"/>
            <w:r w:rsidRPr="00B66EDA">
              <w:rPr>
                <w:rFonts w:cs="Arial"/>
                <w:bCs/>
                <w:spacing w:val="0"/>
              </w:rPr>
              <w:t>in excess of</w:t>
            </w:r>
            <w:proofErr w:type="gramEnd"/>
            <w:r w:rsidRPr="00B66EDA">
              <w:rPr>
                <w:rFonts w:cs="Arial"/>
                <w:bCs/>
                <w:spacing w:val="0"/>
              </w:rPr>
              <w:t xml:space="preserve"> 1 year maturing in each year</w:t>
            </w:r>
          </w:p>
        </w:tc>
        <w:tc>
          <w:tcPr>
            <w:tcW w:w="1799" w:type="dxa"/>
            <w:tcBorders>
              <w:top w:val="single" w:sz="4" w:space="0" w:color="auto"/>
              <w:left w:val="single" w:sz="4" w:space="0" w:color="auto"/>
              <w:bottom w:val="single" w:sz="4" w:space="0" w:color="auto"/>
              <w:right w:val="single" w:sz="4" w:space="0" w:color="auto"/>
            </w:tcBorders>
          </w:tcPr>
          <w:p w14:paraId="03F9B9D3" w14:textId="77777777" w:rsidR="002D0FD9" w:rsidRPr="00B66EDA" w:rsidRDefault="00A724BF" w:rsidP="002D0FD9">
            <w:pPr>
              <w:jc w:val="center"/>
              <w:rPr>
                <w:rFonts w:cs="Arial"/>
                <w:spacing w:val="0"/>
              </w:rPr>
            </w:pPr>
            <w:r w:rsidRPr="00B66EDA">
              <w:rPr>
                <w:rFonts w:cs="Arial"/>
                <w:spacing w:val="0"/>
              </w:rPr>
              <w:t>£0m</w:t>
            </w:r>
          </w:p>
        </w:tc>
        <w:tc>
          <w:tcPr>
            <w:tcW w:w="1979" w:type="dxa"/>
            <w:tcBorders>
              <w:top w:val="single" w:sz="4" w:space="0" w:color="auto"/>
              <w:left w:val="single" w:sz="4" w:space="0" w:color="auto"/>
              <w:bottom w:val="single" w:sz="4" w:space="0" w:color="auto"/>
              <w:right w:val="single" w:sz="4" w:space="0" w:color="auto"/>
            </w:tcBorders>
          </w:tcPr>
          <w:p w14:paraId="1E5A907F" w14:textId="77777777" w:rsidR="002D0FD9" w:rsidRPr="00B66EDA" w:rsidRDefault="00A724BF" w:rsidP="00A33FAE">
            <w:pPr>
              <w:jc w:val="center"/>
              <w:rPr>
                <w:rFonts w:cs="Arial"/>
                <w:spacing w:val="0"/>
              </w:rPr>
            </w:pPr>
            <w:r w:rsidRPr="00B66EDA">
              <w:rPr>
                <w:rFonts w:cs="Arial"/>
                <w:spacing w:val="0"/>
              </w:rPr>
              <w:t>£0m</w:t>
            </w:r>
          </w:p>
        </w:tc>
        <w:tc>
          <w:tcPr>
            <w:tcW w:w="1799" w:type="dxa"/>
            <w:tcBorders>
              <w:top w:val="single" w:sz="4" w:space="0" w:color="auto"/>
              <w:left w:val="single" w:sz="4" w:space="0" w:color="auto"/>
              <w:bottom w:val="single" w:sz="4" w:space="0" w:color="auto"/>
              <w:right w:val="single" w:sz="4" w:space="0" w:color="auto"/>
            </w:tcBorders>
          </w:tcPr>
          <w:p w14:paraId="13661E7F" w14:textId="77777777" w:rsidR="002D0FD9" w:rsidRPr="00B66EDA" w:rsidRDefault="00A724BF" w:rsidP="00A33FAE">
            <w:pPr>
              <w:jc w:val="center"/>
              <w:rPr>
                <w:rFonts w:cs="Arial"/>
                <w:spacing w:val="0"/>
              </w:rPr>
            </w:pPr>
            <w:r w:rsidRPr="00B66EDA">
              <w:rPr>
                <w:rFonts w:cs="Arial"/>
                <w:spacing w:val="0"/>
              </w:rPr>
              <w:t>£0m</w:t>
            </w:r>
          </w:p>
        </w:tc>
      </w:tr>
    </w:tbl>
    <w:p w14:paraId="2FF9D097" w14:textId="77777777" w:rsidR="00296E8C" w:rsidRPr="00B66EDA" w:rsidRDefault="00296E8C" w:rsidP="008353F2">
      <w:pPr>
        <w:jc w:val="both"/>
        <w:rPr>
          <w:rFonts w:cs="Arial"/>
          <w:i/>
          <w:color w:val="0000FF"/>
        </w:rPr>
      </w:pPr>
    </w:p>
    <w:p w14:paraId="1DC410C4" w14:textId="77777777" w:rsidR="00EB796A" w:rsidRPr="00B66EDA" w:rsidRDefault="00EB796A" w:rsidP="00EB0AD1">
      <w:pPr>
        <w:autoSpaceDE w:val="0"/>
        <w:autoSpaceDN w:val="0"/>
        <w:adjustRightInd w:val="0"/>
        <w:jc w:val="both"/>
        <w:rPr>
          <w:rFonts w:cs="Arial"/>
          <w:lang w:eastAsia="en-GB"/>
        </w:rPr>
      </w:pPr>
    </w:p>
    <w:p w14:paraId="05C3F5DD" w14:textId="77777777" w:rsidR="00EB796A" w:rsidRPr="00B66EDA" w:rsidRDefault="00A724BF" w:rsidP="00F56178">
      <w:pPr>
        <w:pStyle w:val="subhead"/>
        <w:numPr>
          <w:ilvl w:val="0"/>
          <w:numId w:val="0"/>
        </w:numPr>
        <w:rPr>
          <w:noProof w:val="0"/>
          <w:sz w:val="20"/>
          <w:szCs w:val="20"/>
        </w:rPr>
      </w:pPr>
      <w:bookmarkStart w:id="134" w:name="_Toc56008285"/>
      <w:r w:rsidRPr="00B66EDA">
        <w:rPr>
          <w:noProof w:val="0"/>
          <w:sz w:val="20"/>
          <w:szCs w:val="20"/>
        </w:rPr>
        <w:t xml:space="preserve">4.5 </w:t>
      </w:r>
      <w:r w:rsidRPr="00B66EDA">
        <w:rPr>
          <w:noProof w:val="0"/>
          <w:sz w:val="20"/>
          <w:szCs w:val="20"/>
        </w:rPr>
        <w:tab/>
        <w:t>Investment performance</w:t>
      </w:r>
      <w:bookmarkEnd w:id="134"/>
    </w:p>
    <w:p w14:paraId="49BBDDC6" w14:textId="77777777" w:rsidR="00980F2D" w:rsidRPr="00980F2D" w:rsidRDefault="00A724BF" w:rsidP="00980F2D">
      <w:pPr>
        <w:pStyle w:val="body"/>
        <w:rPr>
          <w:noProof w:val="0"/>
          <w:sz w:val="20"/>
          <w:szCs w:val="20"/>
        </w:rPr>
      </w:pPr>
      <w:r>
        <w:rPr>
          <w:noProof w:val="0"/>
          <w:sz w:val="20"/>
          <w:szCs w:val="20"/>
        </w:rPr>
        <w:t xml:space="preserve">Following </w:t>
      </w:r>
      <w:r w:rsidRPr="00980F2D">
        <w:rPr>
          <w:noProof w:val="0"/>
          <w:sz w:val="20"/>
          <w:szCs w:val="20"/>
        </w:rPr>
        <w:t xml:space="preserve">the cessation </w:t>
      </w:r>
      <w:r>
        <w:rPr>
          <w:noProof w:val="0"/>
          <w:sz w:val="20"/>
          <w:szCs w:val="20"/>
        </w:rPr>
        <w:t xml:space="preserve">in 2021 </w:t>
      </w:r>
      <w:r w:rsidRPr="00980F2D">
        <w:rPr>
          <w:noProof w:val="0"/>
          <w:sz w:val="20"/>
          <w:szCs w:val="20"/>
        </w:rPr>
        <w:t xml:space="preserve">of LIBOR and the associated </w:t>
      </w:r>
      <w:proofErr w:type="gramStart"/>
      <w:r w:rsidRPr="00980F2D">
        <w:rPr>
          <w:noProof w:val="0"/>
          <w:sz w:val="20"/>
          <w:szCs w:val="20"/>
        </w:rPr>
        <w:t>7 day</w:t>
      </w:r>
      <w:proofErr w:type="gramEnd"/>
      <w:r w:rsidRPr="00980F2D">
        <w:rPr>
          <w:noProof w:val="0"/>
          <w:sz w:val="20"/>
          <w:szCs w:val="20"/>
        </w:rPr>
        <w:t xml:space="preserve"> LIBID, which was previously used to benchmark the Council’s treasury investment performance</w:t>
      </w:r>
      <w:r>
        <w:rPr>
          <w:noProof w:val="0"/>
          <w:sz w:val="20"/>
          <w:szCs w:val="20"/>
        </w:rPr>
        <w:t>,</w:t>
      </w:r>
      <w:r w:rsidRPr="00980F2D">
        <w:rPr>
          <w:noProof w:val="0"/>
          <w:sz w:val="20"/>
          <w:szCs w:val="20"/>
        </w:rPr>
        <w:t xml:space="preserve"> </w:t>
      </w:r>
      <w:r>
        <w:rPr>
          <w:noProof w:val="0"/>
          <w:sz w:val="20"/>
          <w:szCs w:val="20"/>
        </w:rPr>
        <w:t>t</w:t>
      </w:r>
      <w:r w:rsidRPr="00980F2D">
        <w:rPr>
          <w:noProof w:val="0"/>
          <w:sz w:val="20"/>
          <w:szCs w:val="20"/>
        </w:rPr>
        <w:t xml:space="preserve">he new benchmark is recommended to be 7 day SONIA </w:t>
      </w:r>
      <w:r w:rsidR="00625321">
        <w:rPr>
          <w:noProof w:val="0"/>
          <w:sz w:val="20"/>
          <w:szCs w:val="20"/>
        </w:rPr>
        <w:t xml:space="preserve">(Sterling Overnight Index Average) </w:t>
      </w:r>
      <w:r w:rsidRPr="00980F2D">
        <w:rPr>
          <w:noProof w:val="0"/>
          <w:sz w:val="20"/>
          <w:szCs w:val="20"/>
        </w:rPr>
        <w:t>rate</w:t>
      </w:r>
      <w:r>
        <w:rPr>
          <w:noProof w:val="0"/>
          <w:sz w:val="20"/>
          <w:szCs w:val="20"/>
        </w:rPr>
        <w:t>.</w:t>
      </w:r>
      <w:r w:rsidRPr="00980F2D">
        <w:rPr>
          <w:noProof w:val="0"/>
          <w:sz w:val="20"/>
          <w:szCs w:val="20"/>
        </w:rPr>
        <w:t xml:space="preserve"> </w:t>
      </w:r>
      <w:r>
        <w:rPr>
          <w:noProof w:val="0"/>
          <w:sz w:val="20"/>
          <w:szCs w:val="20"/>
        </w:rPr>
        <w:t xml:space="preserve">This </w:t>
      </w:r>
      <w:r w:rsidRPr="00980F2D">
        <w:rPr>
          <w:noProof w:val="0"/>
          <w:sz w:val="20"/>
          <w:szCs w:val="20"/>
        </w:rPr>
        <w:t xml:space="preserve">is the risk-free rate for sterling markets administered by the Bank of England. </w:t>
      </w:r>
    </w:p>
    <w:p w14:paraId="4737E180" w14:textId="77777777" w:rsidR="00980F2D" w:rsidRPr="00980F2D" w:rsidRDefault="00980F2D" w:rsidP="00980F2D">
      <w:pPr>
        <w:pStyle w:val="body"/>
        <w:rPr>
          <w:noProof w:val="0"/>
          <w:sz w:val="20"/>
          <w:szCs w:val="20"/>
        </w:rPr>
      </w:pPr>
    </w:p>
    <w:p w14:paraId="45D2CCE8" w14:textId="77777777" w:rsidR="008C5A03" w:rsidRPr="00B66EDA" w:rsidRDefault="00A724BF" w:rsidP="00980F2D">
      <w:pPr>
        <w:pStyle w:val="body"/>
        <w:rPr>
          <w:iCs/>
          <w:noProof w:val="0"/>
          <w:spacing w:val="0"/>
          <w:sz w:val="20"/>
          <w:szCs w:val="20"/>
        </w:rPr>
      </w:pPr>
      <w:r w:rsidRPr="00980F2D">
        <w:rPr>
          <w:noProof w:val="0"/>
          <w:sz w:val="20"/>
          <w:szCs w:val="20"/>
        </w:rPr>
        <w:t>SONIA is based on actual transactions and reflects the average of the interest rates that banks pay to borrow sterling overnight from other financial institutions and other institutional investors. The now-defunct LIBOR had been based on estimated rates.</w:t>
      </w:r>
    </w:p>
    <w:p w14:paraId="430BBF37" w14:textId="77777777" w:rsidR="002D0FD9" w:rsidRPr="00B66EDA" w:rsidRDefault="002D0FD9" w:rsidP="00FB2BEE">
      <w:pPr>
        <w:pStyle w:val="body"/>
        <w:rPr>
          <w:i/>
          <w:noProof w:val="0"/>
          <w:color w:val="0000FF"/>
          <w:sz w:val="20"/>
          <w:szCs w:val="20"/>
        </w:rPr>
      </w:pPr>
    </w:p>
    <w:p w14:paraId="34B38024" w14:textId="77777777" w:rsidR="00EB796A" w:rsidRPr="00B66EDA" w:rsidRDefault="00A724BF" w:rsidP="002902F2">
      <w:pPr>
        <w:pStyle w:val="subhead"/>
        <w:numPr>
          <w:ilvl w:val="0"/>
          <w:numId w:val="0"/>
        </w:numPr>
        <w:rPr>
          <w:noProof w:val="0"/>
          <w:sz w:val="20"/>
          <w:szCs w:val="20"/>
        </w:rPr>
      </w:pPr>
      <w:bookmarkStart w:id="135" w:name="_Toc56008286"/>
      <w:proofErr w:type="gramStart"/>
      <w:r w:rsidRPr="00B66EDA">
        <w:rPr>
          <w:noProof w:val="0"/>
          <w:sz w:val="20"/>
          <w:szCs w:val="20"/>
        </w:rPr>
        <w:t xml:space="preserve">4.6  </w:t>
      </w:r>
      <w:r w:rsidRPr="00B66EDA">
        <w:rPr>
          <w:noProof w:val="0"/>
          <w:sz w:val="20"/>
          <w:szCs w:val="20"/>
        </w:rPr>
        <w:tab/>
      </w:r>
      <w:proofErr w:type="gramEnd"/>
      <w:r w:rsidRPr="00B66EDA">
        <w:rPr>
          <w:noProof w:val="0"/>
          <w:sz w:val="20"/>
          <w:szCs w:val="20"/>
        </w:rPr>
        <w:t>End of year investment report</w:t>
      </w:r>
      <w:bookmarkEnd w:id="135"/>
    </w:p>
    <w:p w14:paraId="6547B2C7" w14:textId="77777777" w:rsidR="00EB796A" w:rsidRPr="00B66EDA" w:rsidRDefault="00A724BF" w:rsidP="00EB0AD1">
      <w:pPr>
        <w:jc w:val="both"/>
        <w:rPr>
          <w:rFonts w:cs="Arial"/>
        </w:rPr>
      </w:pPr>
      <w:r w:rsidRPr="00B66EDA">
        <w:rPr>
          <w:rFonts w:cs="Arial"/>
        </w:rPr>
        <w:t xml:space="preserve">At the end of the financial year, the Council will report on its investment activity as part of its Annual Treasury </w:t>
      </w:r>
      <w:r w:rsidR="00625321">
        <w:rPr>
          <w:rFonts w:cs="Arial"/>
        </w:rPr>
        <w:t>Management Performance r</w:t>
      </w:r>
      <w:r w:rsidRPr="00B66EDA">
        <w:rPr>
          <w:rFonts w:cs="Arial"/>
        </w:rPr>
        <w:t>eport</w:t>
      </w:r>
      <w:r w:rsidR="00625321">
        <w:rPr>
          <w:rFonts w:cs="Arial"/>
        </w:rPr>
        <w:t xml:space="preserve"> to Audit &amp; Scrutiny Committee, in line with the Constitution.</w:t>
      </w:r>
    </w:p>
    <w:p w14:paraId="0AA263FF" w14:textId="77777777" w:rsidR="00AA0A10" w:rsidRPr="00B66EDA" w:rsidRDefault="00AA0A10" w:rsidP="00EB0AD1">
      <w:pPr>
        <w:jc w:val="both"/>
        <w:rPr>
          <w:rFonts w:cs="Arial"/>
        </w:rPr>
      </w:pPr>
    </w:p>
    <w:p w14:paraId="12E2F01A" w14:textId="77777777" w:rsidR="006D6DFD" w:rsidRPr="00B66EDA" w:rsidRDefault="00A724BF" w:rsidP="00FB2BEE">
      <w:pPr>
        <w:pStyle w:val="subhead"/>
        <w:numPr>
          <w:ilvl w:val="0"/>
          <w:numId w:val="0"/>
        </w:numPr>
        <w:rPr>
          <w:noProof w:val="0"/>
          <w:sz w:val="20"/>
          <w:szCs w:val="20"/>
        </w:rPr>
      </w:pPr>
      <w:bookmarkStart w:id="136" w:name="_Toc56008287"/>
      <w:r w:rsidRPr="00B66EDA">
        <w:rPr>
          <w:noProof w:val="0"/>
          <w:sz w:val="20"/>
          <w:szCs w:val="20"/>
        </w:rPr>
        <w:t xml:space="preserve">4.7 </w:t>
      </w:r>
      <w:r w:rsidRPr="00B66EDA">
        <w:rPr>
          <w:noProof w:val="0"/>
          <w:sz w:val="20"/>
          <w:szCs w:val="20"/>
        </w:rPr>
        <w:tab/>
        <w:t>External fund managers</w:t>
      </w:r>
      <w:bookmarkEnd w:id="136"/>
      <w:r w:rsidRPr="00B66EDA">
        <w:rPr>
          <w:noProof w:val="0"/>
          <w:sz w:val="20"/>
          <w:szCs w:val="20"/>
        </w:rPr>
        <w:t xml:space="preserve"> </w:t>
      </w:r>
    </w:p>
    <w:p w14:paraId="2721CD58" w14:textId="77777777" w:rsidR="00FB2BEE" w:rsidRPr="00B66EDA" w:rsidRDefault="00A724BF" w:rsidP="00677646">
      <w:pPr>
        <w:numPr>
          <w:ilvl w:val="12"/>
          <w:numId w:val="0"/>
        </w:numPr>
        <w:tabs>
          <w:tab w:val="left" w:pos="0"/>
        </w:tabs>
        <w:jc w:val="both"/>
        <w:rPr>
          <w:rFonts w:cs="Arial"/>
        </w:rPr>
      </w:pPr>
      <w:r w:rsidRPr="00B66EDA">
        <w:rPr>
          <w:rFonts w:cs="Arial"/>
          <w:iCs/>
        </w:rPr>
        <w:t>Currently (31/12/2</w:t>
      </w:r>
      <w:r w:rsidR="00625321">
        <w:rPr>
          <w:rFonts w:cs="Arial"/>
          <w:iCs/>
        </w:rPr>
        <w:t>2</w:t>
      </w:r>
      <w:r w:rsidRPr="00B66EDA">
        <w:rPr>
          <w:rFonts w:cs="Arial"/>
          <w:iCs/>
        </w:rPr>
        <w:t>) the Council has no funds deposited with its external fund manager, Aberdeen Asset Management. However, when the</w:t>
      </w:r>
      <w:r w:rsidRPr="00B66EDA">
        <w:rPr>
          <w:rFonts w:cs="Arial"/>
          <w:i/>
          <w:iCs/>
        </w:rPr>
        <w:t xml:space="preserve"> </w:t>
      </w:r>
      <w:r w:rsidRPr="00B66EDA">
        <w:rPr>
          <w:rFonts w:cs="Arial"/>
        </w:rPr>
        <w:t xml:space="preserve">external fund manager is utilised, they will comply with the Annual Investment Strategy.  The agreement between the Council and the fund manager additionally stipulates guidelines on duration and other limits to contain and control risk. </w:t>
      </w:r>
    </w:p>
    <w:p w14:paraId="56CF6FC6" w14:textId="77777777" w:rsidR="009445FB" w:rsidRDefault="00A724BF">
      <w:pPr>
        <w:rPr>
          <w:rFonts w:cs="Arial"/>
        </w:rPr>
      </w:pPr>
      <w:r>
        <w:rPr>
          <w:rFonts w:cs="Arial"/>
        </w:rPr>
        <w:br w:type="page"/>
      </w:r>
    </w:p>
    <w:p w14:paraId="6EFFF1B8" w14:textId="77777777" w:rsidR="00B66EDA" w:rsidRPr="00B66EDA" w:rsidRDefault="00A724BF" w:rsidP="00B66EDA">
      <w:pPr>
        <w:pStyle w:val="ChapterHeading"/>
        <w:rPr>
          <w:vanish/>
          <w:sz w:val="33"/>
          <w:szCs w:val="33"/>
        </w:rPr>
      </w:pPr>
      <w:bookmarkStart w:id="137" w:name="_Toc338666565"/>
      <w:bookmarkStart w:id="138" w:name="_Toc338669421"/>
      <w:bookmarkEnd w:id="137"/>
      <w:bookmarkEnd w:id="138"/>
      <w:r w:rsidRPr="00B66EDA">
        <w:rPr>
          <w:vanish/>
          <w:sz w:val="33"/>
          <w:szCs w:val="33"/>
        </w:rPr>
        <w:lastRenderedPageBreak/>
        <w:t>THE CAPITAL PRUDENTIAL AND TREASURY INDICATORS 2021/22 – 2023/24 AND MRP STATEMENT</w:t>
      </w:r>
    </w:p>
    <w:p w14:paraId="6BE9042C" w14:textId="77777777" w:rsidR="00024EAF" w:rsidRPr="00B66EDA" w:rsidRDefault="00A724BF" w:rsidP="00B66EDA">
      <w:pPr>
        <w:pStyle w:val="subhead"/>
        <w:numPr>
          <w:ilvl w:val="0"/>
          <w:numId w:val="0"/>
        </w:numPr>
        <w:rPr>
          <w:b w:val="0"/>
          <w:sz w:val="20"/>
          <w:szCs w:val="20"/>
        </w:rPr>
      </w:pPr>
      <w:bookmarkStart w:id="139" w:name="_Toc56008290"/>
      <w:r w:rsidRPr="00B66EDA">
        <w:rPr>
          <w:b w:val="0"/>
          <w:noProof w:val="0"/>
          <w:sz w:val="20"/>
          <w:szCs w:val="20"/>
          <w:lang w:eastAsia="en-GB"/>
        </w:rPr>
        <w:t xml:space="preserve">5.1 </w:t>
      </w:r>
      <w:bookmarkEnd w:id="139"/>
      <w:r w:rsidRPr="00B66EDA">
        <w:rPr>
          <w:b w:val="0"/>
          <w:sz w:val="20"/>
          <w:szCs w:val="20"/>
        </w:rPr>
        <w:t>The Council’s capital expenditure plans are the key driver of treasury management activity. The output of the capital expenditure plans is reflected in the prudential indicators, which are designed to assist members’ overview and confirm capital expenditure plans.</w:t>
      </w:r>
    </w:p>
    <w:p w14:paraId="6551EE37" w14:textId="77777777" w:rsidR="00B13171" w:rsidRDefault="00A724BF" w:rsidP="00B13171">
      <w:pPr>
        <w:pStyle w:val="subhead"/>
        <w:numPr>
          <w:ilvl w:val="2"/>
          <w:numId w:val="13"/>
        </w:numPr>
        <w:rPr>
          <w:noProof w:val="0"/>
          <w:sz w:val="20"/>
          <w:szCs w:val="20"/>
        </w:rPr>
      </w:pPr>
      <w:bookmarkStart w:id="140" w:name="_Toc465069753"/>
      <w:bookmarkStart w:id="141" w:name="_Toc465069886"/>
      <w:bookmarkStart w:id="142" w:name="_Toc465071311"/>
      <w:bookmarkStart w:id="143" w:name="_Toc465081935"/>
      <w:bookmarkStart w:id="144" w:name="_Toc465082053"/>
      <w:bookmarkStart w:id="145" w:name="_Toc465082893"/>
      <w:bookmarkStart w:id="146" w:name="_Toc465082968"/>
      <w:bookmarkStart w:id="147" w:name="_Toc465083922"/>
      <w:bookmarkStart w:id="148" w:name="_Toc465084166"/>
      <w:bookmarkStart w:id="149" w:name="_Toc465084210"/>
      <w:bookmarkStart w:id="150" w:name="_Toc465084332"/>
      <w:bookmarkStart w:id="151" w:name="_Toc56008291"/>
      <w:r w:rsidRPr="00B66EDA">
        <w:rPr>
          <w:noProof w:val="0"/>
          <w:sz w:val="20"/>
          <w:szCs w:val="20"/>
        </w:rPr>
        <w:t>Capital expenditure</w:t>
      </w:r>
      <w:bookmarkEnd w:id="140"/>
      <w:bookmarkEnd w:id="141"/>
      <w:bookmarkEnd w:id="142"/>
      <w:bookmarkEnd w:id="143"/>
      <w:bookmarkEnd w:id="144"/>
      <w:bookmarkEnd w:id="145"/>
      <w:bookmarkEnd w:id="146"/>
      <w:bookmarkEnd w:id="147"/>
      <w:bookmarkEnd w:id="148"/>
      <w:bookmarkEnd w:id="149"/>
      <w:bookmarkEnd w:id="150"/>
      <w:bookmarkEnd w:id="151"/>
    </w:p>
    <w:tbl>
      <w:tblPr>
        <w:tblW w:w="9200" w:type="dxa"/>
        <w:tblLook w:val="04A0" w:firstRow="1" w:lastRow="0" w:firstColumn="1" w:lastColumn="0" w:noHBand="0" w:noVBand="1"/>
      </w:tblPr>
      <w:tblGrid>
        <w:gridCol w:w="2740"/>
        <w:gridCol w:w="1200"/>
        <w:gridCol w:w="1300"/>
        <w:gridCol w:w="1300"/>
        <w:gridCol w:w="1300"/>
        <w:gridCol w:w="1360"/>
      </w:tblGrid>
      <w:tr w:rsidR="00535FDB" w:rsidRPr="00535FDB" w14:paraId="4C63DD05" w14:textId="77777777" w:rsidTr="00535FDB">
        <w:trPr>
          <w:trHeight w:val="315"/>
        </w:trPr>
        <w:tc>
          <w:tcPr>
            <w:tcW w:w="2740" w:type="dxa"/>
            <w:tcBorders>
              <w:top w:val="single" w:sz="4" w:space="0" w:color="auto"/>
              <w:left w:val="single" w:sz="4" w:space="0" w:color="auto"/>
              <w:bottom w:val="single" w:sz="4" w:space="0" w:color="auto"/>
              <w:right w:val="single" w:sz="4" w:space="0" w:color="auto"/>
            </w:tcBorders>
            <w:shd w:val="clear" w:color="000000" w:fill="B3B3B3"/>
            <w:vAlign w:val="center"/>
            <w:hideMark/>
          </w:tcPr>
          <w:p w14:paraId="52F06774" w14:textId="77777777" w:rsidR="00535FDB" w:rsidRPr="00535FDB" w:rsidRDefault="00535FDB" w:rsidP="00535FDB">
            <w:pPr>
              <w:rPr>
                <w:rFonts w:cs="Arial"/>
                <w:b/>
                <w:bCs/>
                <w:spacing w:val="0"/>
                <w:sz w:val="22"/>
                <w:szCs w:val="22"/>
                <w:lang w:eastAsia="en-GB"/>
              </w:rPr>
            </w:pPr>
            <w:r w:rsidRPr="00535FDB">
              <w:rPr>
                <w:rFonts w:cs="Arial"/>
                <w:b/>
                <w:bCs/>
                <w:spacing w:val="0"/>
                <w:sz w:val="22"/>
                <w:szCs w:val="22"/>
                <w:lang w:eastAsia="en-GB"/>
              </w:rPr>
              <w:t>Capital expenditure</w:t>
            </w:r>
          </w:p>
        </w:tc>
        <w:tc>
          <w:tcPr>
            <w:tcW w:w="1200" w:type="dxa"/>
            <w:tcBorders>
              <w:top w:val="single" w:sz="4" w:space="0" w:color="auto"/>
              <w:left w:val="nil"/>
              <w:bottom w:val="single" w:sz="4" w:space="0" w:color="auto"/>
              <w:right w:val="single" w:sz="4" w:space="0" w:color="auto"/>
            </w:tcBorders>
            <w:shd w:val="clear" w:color="000000" w:fill="B3B3B3"/>
            <w:vAlign w:val="center"/>
            <w:hideMark/>
          </w:tcPr>
          <w:p w14:paraId="6BBDA2C8"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2021/22</w:t>
            </w:r>
          </w:p>
        </w:tc>
        <w:tc>
          <w:tcPr>
            <w:tcW w:w="1300" w:type="dxa"/>
            <w:tcBorders>
              <w:top w:val="single" w:sz="4" w:space="0" w:color="auto"/>
              <w:left w:val="nil"/>
              <w:bottom w:val="single" w:sz="4" w:space="0" w:color="auto"/>
              <w:right w:val="single" w:sz="4" w:space="0" w:color="auto"/>
            </w:tcBorders>
            <w:shd w:val="clear" w:color="000000" w:fill="B3B3B3"/>
            <w:vAlign w:val="center"/>
            <w:hideMark/>
          </w:tcPr>
          <w:p w14:paraId="651AC419"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2022/23</w:t>
            </w:r>
          </w:p>
        </w:tc>
        <w:tc>
          <w:tcPr>
            <w:tcW w:w="1300" w:type="dxa"/>
            <w:tcBorders>
              <w:top w:val="single" w:sz="4" w:space="0" w:color="auto"/>
              <w:left w:val="nil"/>
              <w:bottom w:val="single" w:sz="4" w:space="0" w:color="auto"/>
              <w:right w:val="single" w:sz="4" w:space="0" w:color="auto"/>
            </w:tcBorders>
            <w:shd w:val="clear" w:color="000000" w:fill="B3B3B3"/>
            <w:vAlign w:val="center"/>
            <w:hideMark/>
          </w:tcPr>
          <w:p w14:paraId="4EE1CD38"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2023/24</w:t>
            </w:r>
          </w:p>
        </w:tc>
        <w:tc>
          <w:tcPr>
            <w:tcW w:w="1300" w:type="dxa"/>
            <w:tcBorders>
              <w:top w:val="single" w:sz="4" w:space="0" w:color="auto"/>
              <w:left w:val="nil"/>
              <w:bottom w:val="single" w:sz="4" w:space="0" w:color="auto"/>
              <w:right w:val="single" w:sz="4" w:space="0" w:color="auto"/>
            </w:tcBorders>
            <w:shd w:val="clear" w:color="000000" w:fill="B3B3B3"/>
            <w:vAlign w:val="center"/>
            <w:hideMark/>
          </w:tcPr>
          <w:p w14:paraId="478ACAE4"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2024/25</w:t>
            </w:r>
          </w:p>
        </w:tc>
        <w:tc>
          <w:tcPr>
            <w:tcW w:w="1360" w:type="dxa"/>
            <w:tcBorders>
              <w:top w:val="single" w:sz="4" w:space="0" w:color="auto"/>
              <w:left w:val="nil"/>
              <w:bottom w:val="single" w:sz="4" w:space="0" w:color="auto"/>
              <w:right w:val="single" w:sz="4" w:space="0" w:color="auto"/>
            </w:tcBorders>
            <w:shd w:val="clear" w:color="000000" w:fill="B3B3B3"/>
            <w:vAlign w:val="center"/>
            <w:hideMark/>
          </w:tcPr>
          <w:p w14:paraId="329655BC"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2025/26</w:t>
            </w:r>
          </w:p>
        </w:tc>
      </w:tr>
      <w:tr w:rsidR="00535FDB" w:rsidRPr="00535FDB" w14:paraId="09B49F88" w14:textId="77777777" w:rsidTr="00535FDB">
        <w:trPr>
          <w:trHeight w:val="315"/>
        </w:trPr>
        <w:tc>
          <w:tcPr>
            <w:tcW w:w="2740" w:type="dxa"/>
            <w:tcBorders>
              <w:top w:val="nil"/>
              <w:left w:val="single" w:sz="4" w:space="0" w:color="auto"/>
              <w:bottom w:val="single" w:sz="4" w:space="0" w:color="auto"/>
              <w:right w:val="single" w:sz="4" w:space="0" w:color="auto"/>
            </w:tcBorders>
            <w:shd w:val="clear" w:color="000000" w:fill="B3B3B3"/>
            <w:vAlign w:val="center"/>
            <w:hideMark/>
          </w:tcPr>
          <w:p w14:paraId="2E22ECD9" w14:textId="77777777" w:rsidR="00535FDB" w:rsidRPr="00535FDB" w:rsidRDefault="00535FDB" w:rsidP="00535FDB">
            <w:pPr>
              <w:rPr>
                <w:rFonts w:cs="Arial"/>
                <w:b/>
                <w:bCs/>
                <w:spacing w:val="0"/>
                <w:sz w:val="22"/>
                <w:szCs w:val="22"/>
                <w:lang w:eastAsia="en-GB"/>
              </w:rPr>
            </w:pPr>
            <w:r w:rsidRPr="00535FDB">
              <w:rPr>
                <w:rFonts w:cs="Arial"/>
                <w:b/>
                <w:bCs/>
                <w:spacing w:val="0"/>
                <w:sz w:val="22"/>
                <w:szCs w:val="22"/>
                <w:lang w:eastAsia="en-GB"/>
              </w:rPr>
              <w:t>£000</w:t>
            </w:r>
          </w:p>
        </w:tc>
        <w:tc>
          <w:tcPr>
            <w:tcW w:w="1200" w:type="dxa"/>
            <w:tcBorders>
              <w:top w:val="nil"/>
              <w:left w:val="nil"/>
              <w:bottom w:val="single" w:sz="4" w:space="0" w:color="auto"/>
              <w:right w:val="single" w:sz="4" w:space="0" w:color="auto"/>
            </w:tcBorders>
            <w:shd w:val="clear" w:color="000000" w:fill="B3B3B3"/>
            <w:vAlign w:val="center"/>
            <w:hideMark/>
          </w:tcPr>
          <w:p w14:paraId="0CE5071E"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Actual</w:t>
            </w:r>
          </w:p>
        </w:tc>
        <w:tc>
          <w:tcPr>
            <w:tcW w:w="1300" w:type="dxa"/>
            <w:tcBorders>
              <w:top w:val="nil"/>
              <w:left w:val="nil"/>
              <w:bottom w:val="single" w:sz="4" w:space="0" w:color="auto"/>
              <w:right w:val="single" w:sz="4" w:space="0" w:color="auto"/>
            </w:tcBorders>
            <w:shd w:val="clear" w:color="000000" w:fill="B3B3B3"/>
            <w:vAlign w:val="center"/>
            <w:hideMark/>
          </w:tcPr>
          <w:p w14:paraId="494ECBE9"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Estimate</w:t>
            </w:r>
          </w:p>
        </w:tc>
        <w:tc>
          <w:tcPr>
            <w:tcW w:w="1300" w:type="dxa"/>
            <w:tcBorders>
              <w:top w:val="nil"/>
              <w:left w:val="nil"/>
              <w:bottom w:val="single" w:sz="4" w:space="0" w:color="auto"/>
              <w:right w:val="single" w:sz="4" w:space="0" w:color="auto"/>
            </w:tcBorders>
            <w:shd w:val="clear" w:color="000000" w:fill="B3B3B3"/>
            <w:vAlign w:val="center"/>
            <w:hideMark/>
          </w:tcPr>
          <w:p w14:paraId="6EF18475"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Estimate</w:t>
            </w:r>
          </w:p>
        </w:tc>
        <w:tc>
          <w:tcPr>
            <w:tcW w:w="1300" w:type="dxa"/>
            <w:tcBorders>
              <w:top w:val="nil"/>
              <w:left w:val="nil"/>
              <w:bottom w:val="single" w:sz="4" w:space="0" w:color="auto"/>
              <w:right w:val="single" w:sz="4" w:space="0" w:color="auto"/>
            </w:tcBorders>
            <w:shd w:val="clear" w:color="000000" w:fill="B3B3B3"/>
            <w:vAlign w:val="center"/>
            <w:hideMark/>
          </w:tcPr>
          <w:p w14:paraId="42735C0A"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Estimate</w:t>
            </w:r>
          </w:p>
        </w:tc>
        <w:tc>
          <w:tcPr>
            <w:tcW w:w="1360" w:type="dxa"/>
            <w:tcBorders>
              <w:top w:val="nil"/>
              <w:left w:val="nil"/>
              <w:bottom w:val="single" w:sz="4" w:space="0" w:color="auto"/>
              <w:right w:val="single" w:sz="4" w:space="0" w:color="auto"/>
            </w:tcBorders>
            <w:shd w:val="clear" w:color="000000" w:fill="B3B3B3"/>
            <w:vAlign w:val="center"/>
            <w:hideMark/>
          </w:tcPr>
          <w:p w14:paraId="5E9EB5E3" w14:textId="77777777" w:rsidR="00535FDB" w:rsidRPr="00535FDB" w:rsidRDefault="00535FDB" w:rsidP="00535FDB">
            <w:pPr>
              <w:jc w:val="center"/>
              <w:rPr>
                <w:rFonts w:cs="Arial"/>
                <w:b/>
                <w:bCs/>
                <w:spacing w:val="0"/>
                <w:sz w:val="22"/>
                <w:szCs w:val="22"/>
                <w:lang w:eastAsia="en-GB"/>
              </w:rPr>
            </w:pPr>
            <w:r w:rsidRPr="00535FDB">
              <w:rPr>
                <w:rFonts w:cs="Arial"/>
                <w:b/>
                <w:bCs/>
                <w:spacing w:val="0"/>
                <w:sz w:val="22"/>
                <w:szCs w:val="22"/>
                <w:lang w:eastAsia="en-GB"/>
              </w:rPr>
              <w:t>Estimate</w:t>
            </w:r>
          </w:p>
        </w:tc>
      </w:tr>
      <w:tr w:rsidR="00535FDB" w:rsidRPr="00535FDB" w14:paraId="6C65A7D9" w14:textId="77777777" w:rsidTr="00535FDB">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7158E49E" w14:textId="77777777" w:rsidR="00535FDB" w:rsidRPr="00535FDB" w:rsidRDefault="00535FDB" w:rsidP="00535FDB">
            <w:pPr>
              <w:rPr>
                <w:rFonts w:cs="Arial"/>
                <w:spacing w:val="0"/>
                <w:sz w:val="22"/>
                <w:szCs w:val="22"/>
                <w:lang w:eastAsia="en-GB"/>
              </w:rPr>
            </w:pPr>
            <w:r w:rsidRPr="00535FDB">
              <w:rPr>
                <w:rFonts w:cs="Arial"/>
                <w:spacing w:val="0"/>
                <w:sz w:val="22"/>
                <w:szCs w:val="22"/>
                <w:lang w:eastAsia="en-GB"/>
              </w:rPr>
              <w:t>Strategy &amp; Resources</w:t>
            </w:r>
          </w:p>
        </w:tc>
        <w:tc>
          <w:tcPr>
            <w:tcW w:w="1200" w:type="dxa"/>
            <w:tcBorders>
              <w:top w:val="nil"/>
              <w:left w:val="nil"/>
              <w:bottom w:val="single" w:sz="4" w:space="0" w:color="auto"/>
              <w:right w:val="single" w:sz="4" w:space="0" w:color="auto"/>
            </w:tcBorders>
            <w:shd w:val="clear" w:color="auto" w:fill="auto"/>
            <w:vAlign w:val="center"/>
            <w:hideMark/>
          </w:tcPr>
          <w:p w14:paraId="7A4774C9"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333</w:t>
            </w:r>
          </w:p>
        </w:tc>
        <w:tc>
          <w:tcPr>
            <w:tcW w:w="1300" w:type="dxa"/>
            <w:tcBorders>
              <w:top w:val="nil"/>
              <w:left w:val="nil"/>
              <w:bottom w:val="single" w:sz="4" w:space="0" w:color="auto"/>
              <w:right w:val="single" w:sz="4" w:space="0" w:color="auto"/>
            </w:tcBorders>
            <w:shd w:val="clear" w:color="auto" w:fill="auto"/>
            <w:vAlign w:val="center"/>
            <w:hideMark/>
          </w:tcPr>
          <w:p w14:paraId="225838BC"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721</w:t>
            </w:r>
          </w:p>
        </w:tc>
        <w:tc>
          <w:tcPr>
            <w:tcW w:w="1300" w:type="dxa"/>
            <w:tcBorders>
              <w:top w:val="nil"/>
              <w:left w:val="nil"/>
              <w:bottom w:val="single" w:sz="4" w:space="0" w:color="auto"/>
              <w:right w:val="single" w:sz="4" w:space="0" w:color="auto"/>
            </w:tcBorders>
            <w:shd w:val="clear" w:color="auto" w:fill="auto"/>
            <w:vAlign w:val="center"/>
            <w:hideMark/>
          </w:tcPr>
          <w:p w14:paraId="2D854590"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250</w:t>
            </w:r>
          </w:p>
        </w:tc>
        <w:tc>
          <w:tcPr>
            <w:tcW w:w="1300" w:type="dxa"/>
            <w:tcBorders>
              <w:top w:val="nil"/>
              <w:left w:val="nil"/>
              <w:bottom w:val="single" w:sz="4" w:space="0" w:color="auto"/>
              <w:right w:val="single" w:sz="4" w:space="0" w:color="auto"/>
            </w:tcBorders>
            <w:shd w:val="clear" w:color="auto" w:fill="auto"/>
            <w:vAlign w:val="center"/>
            <w:hideMark/>
          </w:tcPr>
          <w:p w14:paraId="6CCA60CE"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250</w:t>
            </w:r>
          </w:p>
        </w:tc>
        <w:tc>
          <w:tcPr>
            <w:tcW w:w="1360" w:type="dxa"/>
            <w:tcBorders>
              <w:top w:val="nil"/>
              <w:left w:val="nil"/>
              <w:bottom w:val="single" w:sz="4" w:space="0" w:color="auto"/>
              <w:right w:val="single" w:sz="4" w:space="0" w:color="auto"/>
            </w:tcBorders>
            <w:shd w:val="clear" w:color="auto" w:fill="auto"/>
            <w:vAlign w:val="center"/>
            <w:hideMark/>
          </w:tcPr>
          <w:p w14:paraId="2AF0A138"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290</w:t>
            </w:r>
          </w:p>
        </w:tc>
      </w:tr>
      <w:tr w:rsidR="00535FDB" w:rsidRPr="00535FDB" w14:paraId="22586382" w14:textId="77777777" w:rsidTr="00535FDB">
        <w:trPr>
          <w:trHeight w:val="570"/>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12E52D1D" w14:textId="77777777" w:rsidR="00535FDB" w:rsidRPr="00535FDB" w:rsidRDefault="00535FDB" w:rsidP="00535FDB">
            <w:pPr>
              <w:rPr>
                <w:rFonts w:cs="Arial"/>
                <w:spacing w:val="0"/>
                <w:sz w:val="22"/>
                <w:szCs w:val="22"/>
                <w:lang w:eastAsia="en-GB"/>
              </w:rPr>
            </w:pPr>
            <w:r w:rsidRPr="00535FDB">
              <w:rPr>
                <w:rFonts w:cs="Arial"/>
                <w:spacing w:val="0"/>
                <w:sz w:val="22"/>
                <w:szCs w:val="22"/>
                <w:lang w:eastAsia="en-GB"/>
              </w:rPr>
              <w:t>Environment &amp; Safe Communities</w:t>
            </w:r>
          </w:p>
        </w:tc>
        <w:tc>
          <w:tcPr>
            <w:tcW w:w="1200" w:type="dxa"/>
            <w:tcBorders>
              <w:top w:val="nil"/>
              <w:left w:val="nil"/>
              <w:bottom w:val="single" w:sz="4" w:space="0" w:color="auto"/>
              <w:right w:val="single" w:sz="4" w:space="0" w:color="auto"/>
            </w:tcBorders>
            <w:shd w:val="clear" w:color="auto" w:fill="auto"/>
            <w:vAlign w:val="center"/>
            <w:hideMark/>
          </w:tcPr>
          <w:p w14:paraId="7D007FFB"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873</w:t>
            </w:r>
          </w:p>
        </w:tc>
        <w:tc>
          <w:tcPr>
            <w:tcW w:w="1300" w:type="dxa"/>
            <w:tcBorders>
              <w:top w:val="nil"/>
              <w:left w:val="nil"/>
              <w:bottom w:val="single" w:sz="4" w:space="0" w:color="auto"/>
              <w:right w:val="single" w:sz="4" w:space="0" w:color="auto"/>
            </w:tcBorders>
            <w:shd w:val="clear" w:color="auto" w:fill="auto"/>
            <w:vAlign w:val="center"/>
            <w:hideMark/>
          </w:tcPr>
          <w:p w14:paraId="173AC735"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1,173</w:t>
            </w:r>
          </w:p>
        </w:tc>
        <w:tc>
          <w:tcPr>
            <w:tcW w:w="1300" w:type="dxa"/>
            <w:tcBorders>
              <w:top w:val="nil"/>
              <w:left w:val="nil"/>
              <w:bottom w:val="single" w:sz="4" w:space="0" w:color="auto"/>
              <w:right w:val="single" w:sz="4" w:space="0" w:color="auto"/>
            </w:tcBorders>
            <w:shd w:val="clear" w:color="auto" w:fill="auto"/>
            <w:vAlign w:val="center"/>
            <w:hideMark/>
          </w:tcPr>
          <w:p w14:paraId="44F8FC05"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451</w:t>
            </w:r>
          </w:p>
        </w:tc>
        <w:tc>
          <w:tcPr>
            <w:tcW w:w="1300" w:type="dxa"/>
            <w:tcBorders>
              <w:top w:val="nil"/>
              <w:left w:val="nil"/>
              <w:bottom w:val="single" w:sz="4" w:space="0" w:color="auto"/>
              <w:right w:val="single" w:sz="4" w:space="0" w:color="auto"/>
            </w:tcBorders>
            <w:shd w:val="clear" w:color="auto" w:fill="auto"/>
            <w:vAlign w:val="center"/>
            <w:hideMark/>
          </w:tcPr>
          <w:p w14:paraId="1EE91566"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135</w:t>
            </w:r>
          </w:p>
        </w:tc>
        <w:tc>
          <w:tcPr>
            <w:tcW w:w="1360" w:type="dxa"/>
            <w:tcBorders>
              <w:top w:val="nil"/>
              <w:left w:val="nil"/>
              <w:bottom w:val="single" w:sz="4" w:space="0" w:color="auto"/>
              <w:right w:val="single" w:sz="4" w:space="0" w:color="auto"/>
            </w:tcBorders>
            <w:shd w:val="clear" w:color="auto" w:fill="auto"/>
            <w:vAlign w:val="center"/>
            <w:hideMark/>
          </w:tcPr>
          <w:p w14:paraId="6EE6ABC4"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175</w:t>
            </w:r>
          </w:p>
        </w:tc>
      </w:tr>
      <w:tr w:rsidR="00535FDB" w:rsidRPr="00535FDB" w14:paraId="133924B2" w14:textId="77777777" w:rsidTr="00535FDB">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33EE3BE2" w14:textId="77777777" w:rsidR="00535FDB" w:rsidRPr="00535FDB" w:rsidRDefault="00535FDB" w:rsidP="00535FDB">
            <w:pPr>
              <w:rPr>
                <w:rFonts w:cs="Arial"/>
                <w:spacing w:val="0"/>
                <w:sz w:val="22"/>
                <w:szCs w:val="22"/>
                <w:lang w:eastAsia="en-GB"/>
              </w:rPr>
            </w:pPr>
            <w:r w:rsidRPr="00535FDB">
              <w:rPr>
                <w:rFonts w:cs="Arial"/>
                <w:spacing w:val="0"/>
                <w:sz w:val="22"/>
                <w:szCs w:val="22"/>
                <w:lang w:eastAsia="en-GB"/>
              </w:rPr>
              <w:t>Community &amp; Wellbeing</w:t>
            </w:r>
          </w:p>
        </w:tc>
        <w:tc>
          <w:tcPr>
            <w:tcW w:w="1200" w:type="dxa"/>
            <w:tcBorders>
              <w:top w:val="nil"/>
              <w:left w:val="nil"/>
              <w:bottom w:val="single" w:sz="4" w:space="0" w:color="auto"/>
              <w:right w:val="single" w:sz="4" w:space="0" w:color="auto"/>
            </w:tcBorders>
            <w:shd w:val="clear" w:color="auto" w:fill="auto"/>
            <w:vAlign w:val="center"/>
            <w:hideMark/>
          </w:tcPr>
          <w:p w14:paraId="557C15C8"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529</w:t>
            </w:r>
          </w:p>
        </w:tc>
        <w:tc>
          <w:tcPr>
            <w:tcW w:w="1300" w:type="dxa"/>
            <w:tcBorders>
              <w:top w:val="nil"/>
              <w:left w:val="nil"/>
              <w:bottom w:val="single" w:sz="4" w:space="0" w:color="auto"/>
              <w:right w:val="single" w:sz="4" w:space="0" w:color="auto"/>
            </w:tcBorders>
            <w:shd w:val="clear" w:color="auto" w:fill="auto"/>
            <w:vAlign w:val="center"/>
            <w:hideMark/>
          </w:tcPr>
          <w:p w14:paraId="145C7AD7"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2,002</w:t>
            </w:r>
          </w:p>
        </w:tc>
        <w:tc>
          <w:tcPr>
            <w:tcW w:w="1300" w:type="dxa"/>
            <w:tcBorders>
              <w:top w:val="nil"/>
              <w:left w:val="nil"/>
              <w:bottom w:val="single" w:sz="4" w:space="0" w:color="auto"/>
              <w:right w:val="single" w:sz="4" w:space="0" w:color="auto"/>
            </w:tcBorders>
            <w:shd w:val="clear" w:color="auto" w:fill="auto"/>
            <w:vAlign w:val="center"/>
            <w:hideMark/>
          </w:tcPr>
          <w:p w14:paraId="3AE15423"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1,013</w:t>
            </w:r>
          </w:p>
        </w:tc>
        <w:tc>
          <w:tcPr>
            <w:tcW w:w="1300" w:type="dxa"/>
            <w:tcBorders>
              <w:top w:val="nil"/>
              <w:left w:val="nil"/>
              <w:bottom w:val="single" w:sz="4" w:space="0" w:color="auto"/>
              <w:right w:val="single" w:sz="4" w:space="0" w:color="auto"/>
            </w:tcBorders>
            <w:shd w:val="clear" w:color="auto" w:fill="auto"/>
            <w:vAlign w:val="center"/>
            <w:hideMark/>
          </w:tcPr>
          <w:p w14:paraId="716587DF"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785</w:t>
            </w:r>
          </w:p>
        </w:tc>
        <w:tc>
          <w:tcPr>
            <w:tcW w:w="1360" w:type="dxa"/>
            <w:tcBorders>
              <w:top w:val="nil"/>
              <w:left w:val="nil"/>
              <w:bottom w:val="single" w:sz="4" w:space="0" w:color="auto"/>
              <w:right w:val="single" w:sz="4" w:space="0" w:color="auto"/>
            </w:tcBorders>
            <w:shd w:val="clear" w:color="auto" w:fill="auto"/>
            <w:vAlign w:val="center"/>
            <w:hideMark/>
          </w:tcPr>
          <w:p w14:paraId="5F1A68F3"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885</w:t>
            </w:r>
          </w:p>
        </w:tc>
      </w:tr>
      <w:tr w:rsidR="00535FDB" w:rsidRPr="00535FDB" w14:paraId="1170FCA6" w14:textId="77777777" w:rsidTr="00535FDB">
        <w:trPr>
          <w:trHeight w:val="570"/>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12418228" w14:textId="77777777" w:rsidR="00535FDB" w:rsidRPr="00535FDB" w:rsidRDefault="00535FDB" w:rsidP="00535FDB">
            <w:pPr>
              <w:rPr>
                <w:rFonts w:cs="Arial"/>
                <w:spacing w:val="0"/>
                <w:sz w:val="22"/>
                <w:szCs w:val="22"/>
                <w:lang w:eastAsia="en-GB"/>
              </w:rPr>
            </w:pPr>
            <w:r w:rsidRPr="00535FDB">
              <w:rPr>
                <w:rFonts w:cs="Arial"/>
                <w:spacing w:val="0"/>
                <w:sz w:val="22"/>
                <w:szCs w:val="22"/>
                <w:lang w:eastAsia="en-GB"/>
              </w:rPr>
              <w:t>Licensing &amp; Planning Policy</w:t>
            </w:r>
          </w:p>
        </w:tc>
        <w:tc>
          <w:tcPr>
            <w:tcW w:w="1200" w:type="dxa"/>
            <w:tcBorders>
              <w:top w:val="nil"/>
              <w:left w:val="nil"/>
              <w:bottom w:val="single" w:sz="4" w:space="0" w:color="auto"/>
              <w:right w:val="single" w:sz="4" w:space="0" w:color="auto"/>
            </w:tcBorders>
            <w:shd w:val="clear" w:color="auto" w:fill="auto"/>
            <w:vAlign w:val="center"/>
            <w:hideMark/>
          </w:tcPr>
          <w:p w14:paraId="762AE290"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c>
          <w:tcPr>
            <w:tcW w:w="1300" w:type="dxa"/>
            <w:tcBorders>
              <w:top w:val="nil"/>
              <w:left w:val="nil"/>
              <w:bottom w:val="single" w:sz="4" w:space="0" w:color="auto"/>
              <w:right w:val="single" w:sz="4" w:space="0" w:color="auto"/>
            </w:tcBorders>
            <w:shd w:val="clear" w:color="auto" w:fill="auto"/>
            <w:vAlign w:val="center"/>
            <w:hideMark/>
          </w:tcPr>
          <w:p w14:paraId="6642AAB1"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c>
          <w:tcPr>
            <w:tcW w:w="1300" w:type="dxa"/>
            <w:tcBorders>
              <w:top w:val="nil"/>
              <w:left w:val="nil"/>
              <w:bottom w:val="single" w:sz="4" w:space="0" w:color="auto"/>
              <w:right w:val="single" w:sz="4" w:space="0" w:color="auto"/>
            </w:tcBorders>
            <w:shd w:val="clear" w:color="auto" w:fill="auto"/>
            <w:vAlign w:val="center"/>
            <w:hideMark/>
          </w:tcPr>
          <w:p w14:paraId="269B3639"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c>
          <w:tcPr>
            <w:tcW w:w="1300" w:type="dxa"/>
            <w:tcBorders>
              <w:top w:val="nil"/>
              <w:left w:val="nil"/>
              <w:bottom w:val="single" w:sz="4" w:space="0" w:color="auto"/>
              <w:right w:val="single" w:sz="4" w:space="0" w:color="auto"/>
            </w:tcBorders>
            <w:shd w:val="clear" w:color="auto" w:fill="auto"/>
            <w:vAlign w:val="center"/>
            <w:hideMark/>
          </w:tcPr>
          <w:p w14:paraId="2B7BEE18"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c>
          <w:tcPr>
            <w:tcW w:w="1360" w:type="dxa"/>
            <w:tcBorders>
              <w:top w:val="nil"/>
              <w:left w:val="nil"/>
              <w:bottom w:val="single" w:sz="4" w:space="0" w:color="auto"/>
              <w:right w:val="single" w:sz="4" w:space="0" w:color="auto"/>
            </w:tcBorders>
            <w:shd w:val="clear" w:color="auto" w:fill="auto"/>
            <w:vAlign w:val="center"/>
            <w:hideMark/>
          </w:tcPr>
          <w:p w14:paraId="4C69C9D6"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r>
      <w:tr w:rsidR="00535FDB" w:rsidRPr="00535FDB" w14:paraId="7ECDA53F" w14:textId="77777777" w:rsidTr="00535FDB">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369920FB" w14:textId="77777777" w:rsidR="00535FDB" w:rsidRPr="00535FDB" w:rsidRDefault="00535FDB" w:rsidP="00535FDB">
            <w:pPr>
              <w:rPr>
                <w:rFonts w:cs="Arial"/>
                <w:b/>
                <w:bCs/>
                <w:spacing w:val="0"/>
                <w:sz w:val="22"/>
                <w:szCs w:val="22"/>
                <w:lang w:eastAsia="en-GB"/>
              </w:rPr>
            </w:pPr>
            <w:r w:rsidRPr="00535FDB">
              <w:rPr>
                <w:rFonts w:cs="Arial"/>
                <w:b/>
                <w:bCs/>
                <w:spacing w:val="0"/>
                <w:sz w:val="22"/>
                <w:szCs w:val="22"/>
                <w:lang w:eastAsia="en-GB"/>
              </w:rPr>
              <w:t>Total services</w:t>
            </w:r>
          </w:p>
        </w:tc>
        <w:tc>
          <w:tcPr>
            <w:tcW w:w="1200" w:type="dxa"/>
            <w:tcBorders>
              <w:top w:val="nil"/>
              <w:left w:val="nil"/>
              <w:bottom w:val="single" w:sz="4" w:space="0" w:color="auto"/>
              <w:right w:val="single" w:sz="4" w:space="0" w:color="auto"/>
            </w:tcBorders>
            <w:shd w:val="clear" w:color="auto" w:fill="auto"/>
            <w:vAlign w:val="center"/>
            <w:hideMark/>
          </w:tcPr>
          <w:p w14:paraId="2B930B43"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1,735</w:t>
            </w:r>
          </w:p>
        </w:tc>
        <w:tc>
          <w:tcPr>
            <w:tcW w:w="1300" w:type="dxa"/>
            <w:tcBorders>
              <w:top w:val="nil"/>
              <w:left w:val="nil"/>
              <w:bottom w:val="single" w:sz="4" w:space="0" w:color="auto"/>
              <w:right w:val="single" w:sz="4" w:space="0" w:color="auto"/>
            </w:tcBorders>
            <w:shd w:val="clear" w:color="auto" w:fill="auto"/>
            <w:vAlign w:val="center"/>
            <w:hideMark/>
          </w:tcPr>
          <w:p w14:paraId="4323C728"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3,896</w:t>
            </w:r>
          </w:p>
        </w:tc>
        <w:tc>
          <w:tcPr>
            <w:tcW w:w="1300" w:type="dxa"/>
            <w:tcBorders>
              <w:top w:val="nil"/>
              <w:left w:val="nil"/>
              <w:bottom w:val="single" w:sz="4" w:space="0" w:color="auto"/>
              <w:right w:val="single" w:sz="4" w:space="0" w:color="auto"/>
            </w:tcBorders>
            <w:shd w:val="clear" w:color="auto" w:fill="auto"/>
            <w:vAlign w:val="center"/>
            <w:hideMark/>
          </w:tcPr>
          <w:p w14:paraId="4E9C1DC0"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1,714</w:t>
            </w:r>
          </w:p>
        </w:tc>
        <w:tc>
          <w:tcPr>
            <w:tcW w:w="1300" w:type="dxa"/>
            <w:tcBorders>
              <w:top w:val="nil"/>
              <w:left w:val="nil"/>
              <w:bottom w:val="single" w:sz="4" w:space="0" w:color="auto"/>
              <w:right w:val="single" w:sz="4" w:space="0" w:color="auto"/>
            </w:tcBorders>
            <w:shd w:val="clear" w:color="auto" w:fill="auto"/>
            <w:vAlign w:val="center"/>
            <w:hideMark/>
          </w:tcPr>
          <w:p w14:paraId="562E2EE2"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1,170</w:t>
            </w:r>
          </w:p>
        </w:tc>
        <w:tc>
          <w:tcPr>
            <w:tcW w:w="1360" w:type="dxa"/>
            <w:tcBorders>
              <w:top w:val="nil"/>
              <w:left w:val="nil"/>
              <w:bottom w:val="single" w:sz="4" w:space="0" w:color="auto"/>
              <w:right w:val="single" w:sz="4" w:space="0" w:color="auto"/>
            </w:tcBorders>
            <w:shd w:val="clear" w:color="auto" w:fill="auto"/>
            <w:vAlign w:val="center"/>
            <w:hideMark/>
          </w:tcPr>
          <w:p w14:paraId="44C96FAA"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1,350</w:t>
            </w:r>
          </w:p>
        </w:tc>
      </w:tr>
      <w:tr w:rsidR="00535FDB" w:rsidRPr="00535FDB" w14:paraId="3D9DE657" w14:textId="77777777" w:rsidTr="00535FDB">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32494F95" w14:textId="77777777" w:rsidR="00535FDB" w:rsidRPr="00535FDB" w:rsidRDefault="00535FDB" w:rsidP="00535FDB">
            <w:pPr>
              <w:jc w:val="both"/>
              <w:rPr>
                <w:rFonts w:cs="Arial"/>
                <w:spacing w:val="0"/>
                <w:sz w:val="22"/>
                <w:szCs w:val="22"/>
                <w:lang w:eastAsia="en-GB"/>
              </w:rPr>
            </w:pPr>
            <w:r w:rsidRPr="00535FDB">
              <w:rPr>
                <w:rFonts w:cs="Arial"/>
                <w:spacing w:val="0"/>
                <w:sz w:val="22"/>
                <w:szCs w:val="22"/>
                <w:lang w:eastAsia="en-GB"/>
              </w:rPr>
              <w:t>Residential property fund</w:t>
            </w:r>
          </w:p>
        </w:tc>
        <w:tc>
          <w:tcPr>
            <w:tcW w:w="1200" w:type="dxa"/>
            <w:tcBorders>
              <w:top w:val="nil"/>
              <w:left w:val="nil"/>
              <w:bottom w:val="single" w:sz="4" w:space="0" w:color="auto"/>
              <w:right w:val="single" w:sz="4" w:space="0" w:color="auto"/>
            </w:tcBorders>
            <w:shd w:val="clear" w:color="auto" w:fill="auto"/>
            <w:vAlign w:val="center"/>
            <w:hideMark/>
          </w:tcPr>
          <w:p w14:paraId="417EDDF9"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228</w:t>
            </w:r>
          </w:p>
        </w:tc>
        <w:tc>
          <w:tcPr>
            <w:tcW w:w="1300" w:type="dxa"/>
            <w:tcBorders>
              <w:top w:val="nil"/>
              <w:left w:val="nil"/>
              <w:bottom w:val="single" w:sz="4" w:space="0" w:color="auto"/>
              <w:right w:val="single" w:sz="4" w:space="0" w:color="auto"/>
            </w:tcBorders>
            <w:shd w:val="clear" w:color="auto" w:fill="auto"/>
            <w:vAlign w:val="center"/>
            <w:hideMark/>
          </w:tcPr>
          <w:p w14:paraId="3B1660F0"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c>
          <w:tcPr>
            <w:tcW w:w="1300" w:type="dxa"/>
            <w:tcBorders>
              <w:top w:val="nil"/>
              <w:left w:val="nil"/>
              <w:bottom w:val="single" w:sz="4" w:space="0" w:color="auto"/>
              <w:right w:val="single" w:sz="4" w:space="0" w:color="auto"/>
            </w:tcBorders>
            <w:shd w:val="clear" w:color="auto" w:fill="auto"/>
            <w:vAlign w:val="center"/>
            <w:hideMark/>
          </w:tcPr>
          <w:p w14:paraId="6491BBF7"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1,017</w:t>
            </w:r>
          </w:p>
        </w:tc>
        <w:tc>
          <w:tcPr>
            <w:tcW w:w="1300" w:type="dxa"/>
            <w:tcBorders>
              <w:top w:val="nil"/>
              <w:left w:val="nil"/>
              <w:bottom w:val="single" w:sz="4" w:space="0" w:color="auto"/>
              <w:right w:val="single" w:sz="4" w:space="0" w:color="auto"/>
            </w:tcBorders>
            <w:shd w:val="clear" w:color="auto" w:fill="auto"/>
            <w:vAlign w:val="center"/>
            <w:hideMark/>
          </w:tcPr>
          <w:p w14:paraId="45E4D855"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c>
          <w:tcPr>
            <w:tcW w:w="1360" w:type="dxa"/>
            <w:tcBorders>
              <w:top w:val="nil"/>
              <w:left w:val="nil"/>
              <w:bottom w:val="single" w:sz="4" w:space="0" w:color="auto"/>
              <w:right w:val="single" w:sz="4" w:space="0" w:color="auto"/>
            </w:tcBorders>
            <w:shd w:val="clear" w:color="auto" w:fill="auto"/>
            <w:vAlign w:val="center"/>
            <w:hideMark/>
          </w:tcPr>
          <w:p w14:paraId="774C1A67"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r>
      <w:tr w:rsidR="00535FDB" w:rsidRPr="00535FDB" w14:paraId="3FD7516F" w14:textId="77777777" w:rsidTr="00535FDB">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6D9A7A6F" w14:textId="77777777" w:rsidR="00535FDB" w:rsidRPr="00535FDB" w:rsidRDefault="00535FDB" w:rsidP="00535FDB">
            <w:pPr>
              <w:jc w:val="both"/>
              <w:rPr>
                <w:rFonts w:cs="Arial"/>
                <w:spacing w:val="0"/>
                <w:sz w:val="22"/>
                <w:szCs w:val="22"/>
                <w:lang w:eastAsia="en-GB"/>
              </w:rPr>
            </w:pPr>
            <w:r w:rsidRPr="00535FDB">
              <w:rPr>
                <w:rFonts w:cs="Arial"/>
                <w:spacing w:val="0"/>
                <w:sz w:val="22"/>
                <w:szCs w:val="22"/>
                <w:lang w:eastAsia="en-GB"/>
              </w:rPr>
              <w:t>Commercial property fund</w:t>
            </w:r>
          </w:p>
        </w:tc>
        <w:tc>
          <w:tcPr>
            <w:tcW w:w="1200" w:type="dxa"/>
            <w:tcBorders>
              <w:top w:val="nil"/>
              <w:left w:val="nil"/>
              <w:bottom w:val="single" w:sz="4" w:space="0" w:color="auto"/>
              <w:right w:val="single" w:sz="4" w:space="0" w:color="auto"/>
            </w:tcBorders>
            <w:shd w:val="clear" w:color="auto" w:fill="auto"/>
            <w:vAlign w:val="center"/>
            <w:hideMark/>
          </w:tcPr>
          <w:p w14:paraId="5A57E491"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c>
          <w:tcPr>
            <w:tcW w:w="1300" w:type="dxa"/>
            <w:tcBorders>
              <w:top w:val="nil"/>
              <w:left w:val="nil"/>
              <w:bottom w:val="single" w:sz="4" w:space="0" w:color="auto"/>
              <w:right w:val="single" w:sz="4" w:space="0" w:color="auto"/>
            </w:tcBorders>
            <w:shd w:val="clear" w:color="auto" w:fill="auto"/>
            <w:vAlign w:val="center"/>
            <w:hideMark/>
          </w:tcPr>
          <w:p w14:paraId="78E86C68"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c>
          <w:tcPr>
            <w:tcW w:w="1300" w:type="dxa"/>
            <w:tcBorders>
              <w:top w:val="nil"/>
              <w:left w:val="nil"/>
              <w:bottom w:val="single" w:sz="4" w:space="0" w:color="auto"/>
              <w:right w:val="single" w:sz="4" w:space="0" w:color="auto"/>
            </w:tcBorders>
            <w:shd w:val="clear" w:color="auto" w:fill="auto"/>
            <w:vAlign w:val="center"/>
            <w:hideMark/>
          </w:tcPr>
          <w:p w14:paraId="0793DAE7"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49,569</w:t>
            </w:r>
          </w:p>
        </w:tc>
        <w:tc>
          <w:tcPr>
            <w:tcW w:w="1300" w:type="dxa"/>
            <w:tcBorders>
              <w:top w:val="nil"/>
              <w:left w:val="nil"/>
              <w:bottom w:val="single" w:sz="4" w:space="0" w:color="auto"/>
              <w:right w:val="single" w:sz="4" w:space="0" w:color="auto"/>
            </w:tcBorders>
            <w:shd w:val="clear" w:color="auto" w:fill="auto"/>
            <w:vAlign w:val="center"/>
            <w:hideMark/>
          </w:tcPr>
          <w:p w14:paraId="4E4192FA"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c>
          <w:tcPr>
            <w:tcW w:w="1360" w:type="dxa"/>
            <w:tcBorders>
              <w:top w:val="nil"/>
              <w:left w:val="nil"/>
              <w:bottom w:val="single" w:sz="4" w:space="0" w:color="auto"/>
              <w:right w:val="single" w:sz="4" w:space="0" w:color="auto"/>
            </w:tcBorders>
            <w:shd w:val="clear" w:color="auto" w:fill="auto"/>
            <w:vAlign w:val="center"/>
            <w:hideMark/>
          </w:tcPr>
          <w:p w14:paraId="44B07077" w14:textId="77777777" w:rsidR="00535FDB" w:rsidRPr="00535FDB" w:rsidRDefault="00535FDB" w:rsidP="00535FDB">
            <w:pPr>
              <w:jc w:val="right"/>
              <w:rPr>
                <w:rFonts w:cs="Arial"/>
                <w:spacing w:val="0"/>
                <w:sz w:val="22"/>
                <w:szCs w:val="22"/>
                <w:lang w:eastAsia="en-GB"/>
              </w:rPr>
            </w:pPr>
            <w:r w:rsidRPr="00535FDB">
              <w:rPr>
                <w:rFonts w:cs="Arial"/>
                <w:spacing w:val="0"/>
                <w:sz w:val="22"/>
                <w:szCs w:val="22"/>
                <w:lang w:eastAsia="en-GB"/>
              </w:rPr>
              <w:t>0</w:t>
            </w:r>
          </w:p>
        </w:tc>
      </w:tr>
      <w:tr w:rsidR="00535FDB" w:rsidRPr="00535FDB" w14:paraId="1ACC97E1" w14:textId="77777777" w:rsidTr="00535FDB">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425BDEC0" w14:textId="77777777" w:rsidR="00535FDB" w:rsidRPr="00535FDB" w:rsidRDefault="00535FDB" w:rsidP="00535FDB">
            <w:pPr>
              <w:rPr>
                <w:rFonts w:cs="Arial"/>
                <w:b/>
                <w:bCs/>
                <w:spacing w:val="0"/>
                <w:sz w:val="22"/>
                <w:szCs w:val="22"/>
                <w:lang w:eastAsia="en-GB"/>
              </w:rPr>
            </w:pPr>
            <w:r w:rsidRPr="00535FDB">
              <w:rPr>
                <w:rFonts w:cs="Arial"/>
                <w:b/>
                <w:bCs/>
                <w:spacing w:val="0"/>
                <w:sz w:val="22"/>
                <w:szCs w:val="22"/>
                <w:lang w:eastAsia="en-GB"/>
              </w:rPr>
              <w:t>Total</w:t>
            </w:r>
          </w:p>
        </w:tc>
        <w:tc>
          <w:tcPr>
            <w:tcW w:w="1200" w:type="dxa"/>
            <w:tcBorders>
              <w:top w:val="nil"/>
              <w:left w:val="nil"/>
              <w:bottom w:val="single" w:sz="4" w:space="0" w:color="auto"/>
              <w:right w:val="single" w:sz="4" w:space="0" w:color="auto"/>
            </w:tcBorders>
            <w:shd w:val="clear" w:color="auto" w:fill="auto"/>
            <w:vAlign w:val="center"/>
            <w:hideMark/>
          </w:tcPr>
          <w:p w14:paraId="597D33E8"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1,963</w:t>
            </w:r>
          </w:p>
        </w:tc>
        <w:tc>
          <w:tcPr>
            <w:tcW w:w="1300" w:type="dxa"/>
            <w:tcBorders>
              <w:top w:val="nil"/>
              <w:left w:val="nil"/>
              <w:bottom w:val="single" w:sz="4" w:space="0" w:color="auto"/>
              <w:right w:val="single" w:sz="4" w:space="0" w:color="auto"/>
            </w:tcBorders>
            <w:shd w:val="clear" w:color="auto" w:fill="auto"/>
            <w:vAlign w:val="center"/>
            <w:hideMark/>
          </w:tcPr>
          <w:p w14:paraId="333D220D"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3,896</w:t>
            </w:r>
          </w:p>
        </w:tc>
        <w:tc>
          <w:tcPr>
            <w:tcW w:w="1300" w:type="dxa"/>
            <w:tcBorders>
              <w:top w:val="nil"/>
              <w:left w:val="nil"/>
              <w:bottom w:val="single" w:sz="4" w:space="0" w:color="auto"/>
              <w:right w:val="single" w:sz="4" w:space="0" w:color="auto"/>
            </w:tcBorders>
            <w:shd w:val="clear" w:color="auto" w:fill="auto"/>
            <w:vAlign w:val="center"/>
            <w:hideMark/>
          </w:tcPr>
          <w:p w14:paraId="4B500D3C"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52,300</w:t>
            </w:r>
          </w:p>
        </w:tc>
        <w:tc>
          <w:tcPr>
            <w:tcW w:w="1300" w:type="dxa"/>
            <w:tcBorders>
              <w:top w:val="nil"/>
              <w:left w:val="nil"/>
              <w:bottom w:val="single" w:sz="4" w:space="0" w:color="auto"/>
              <w:right w:val="single" w:sz="4" w:space="0" w:color="auto"/>
            </w:tcBorders>
            <w:shd w:val="clear" w:color="auto" w:fill="auto"/>
            <w:vAlign w:val="center"/>
            <w:hideMark/>
          </w:tcPr>
          <w:p w14:paraId="59189FB2"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1,170</w:t>
            </w:r>
          </w:p>
        </w:tc>
        <w:tc>
          <w:tcPr>
            <w:tcW w:w="1360" w:type="dxa"/>
            <w:tcBorders>
              <w:top w:val="nil"/>
              <w:left w:val="nil"/>
              <w:bottom w:val="single" w:sz="4" w:space="0" w:color="auto"/>
              <w:right w:val="single" w:sz="4" w:space="0" w:color="auto"/>
            </w:tcBorders>
            <w:shd w:val="clear" w:color="auto" w:fill="auto"/>
            <w:vAlign w:val="center"/>
            <w:hideMark/>
          </w:tcPr>
          <w:p w14:paraId="20B354E5" w14:textId="77777777" w:rsidR="00535FDB" w:rsidRPr="00535FDB" w:rsidRDefault="00535FDB" w:rsidP="00535FDB">
            <w:pPr>
              <w:jc w:val="right"/>
              <w:rPr>
                <w:rFonts w:cs="Arial"/>
                <w:b/>
                <w:bCs/>
                <w:spacing w:val="0"/>
                <w:sz w:val="22"/>
                <w:szCs w:val="22"/>
                <w:lang w:eastAsia="en-GB"/>
              </w:rPr>
            </w:pPr>
            <w:r w:rsidRPr="00535FDB">
              <w:rPr>
                <w:rFonts w:cs="Arial"/>
                <w:b/>
                <w:bCs/>
                <w:spacing w:val="0"/>
                <w:sz w:val="22"/>
                <w:szCs w:val="22"/>
                <w:lang w:eastAsia="en-GB"/>
              </w:rPr>
              <w:t>1,350</w:t>
            </w:r>
          </w:p>
        </w:tc>
      </w:tr>
    </w:tbl>
    <w:p w14:paraId="0079273F" w14:textId="77777777" w:rsidR="008F0462" w:rsidRPr="002C47B4" w:rsidRDefault="008F0462" w:rsidP="00024EAF">
      <w:pPr>
        <w:pStyle w:val="BodyText"/>
        <w:spacing w:before="120" w:after="120"/>
        <w:ind w:left="357"/>
        <w:jc w:val="both"/>
        <w:rPr>
          <w:rFonts w:ascii="Arial" w:hAnsi="Arial" w:cs="Arial"/>
          <w:i/>
          <w:sz w:val="20"/>
          <w:szCs w:val="20"/>
          <w:lang w:val="en-GB"/>
        </w:rPr>
      </w:pPr>
    </w:p>
    <w:p w14:paraId="42E354AF" w14:textId="77777777" w:rsidR="00024EAF" w:rsidRPr="002C47B4" w:rsidRDefault="00A724BF" w:rsidP="00CF69B5">
      <w:pPr>
        <w:pStyle w:val="subhead"/>
        <w:numPr>
          <w:ilvl w:val="2"/>
          <w:numId w:val="13"/>
        </w:numPr>
        <w:rPr>
          <w:noProof w:val="0"/>
          <w:sz w:val="20"/>
          <w:szCs w:val="20"/>
        </w:rPr>
      </w:pPr>
      <w:bookmarkStart w:id="152" w:name="_Toc465069755"/>
      <w:bookmarkStart w:id="153" w:name="_Toc465069888"/>
      <w:bookmarkStart w:id="154" w:name="_Toc465071313"/>
      <w:bookmarkStart w:id="155" w:name="_Toc465081937"/>
      <w:bookmarkStart w:id="156" w:name="_Toc465082055"/>
      <w:bookmarkStart w:id="157" w:name="_Toc465082895"/>
      <w:bookmarkStart w:id="158" w:name="_Toc465082970"/>
      <w:bookmarkStart w:id="159" w:name="_Toc465083924"/>
      <w:bookmarkStart w:id="160" w:name="_Toc465084168"/>
      <w:bookmarkStart w:id="161" w:name="_Toc465084212"/>
      <w:bookmarkStart w:id="162" w:name="_Toc465084334"/>
      <w:bookmarkStart w:id="163" w:name="_Toc56008292"/>
      <w:r w:rsidRPr="002C47B4">
        <w:rPr>
          <w:noProof w:val="0"/>
          <w:sz w:val="20"/>
          <w:szCs w:val="20"/>
        </w:rPr>
        <w:t>Affordability prudential indicators</w:t>
      </w:r>
      <w:bookmarkEnd w:id="152"/>
      <w:bookmarkEnd w:id="153"/>
      <w:bookmarkEnd w:id="154"/>
      <w:bookmarkEnd w:id="155"/>
      <w:bookmarkEnd w:id="156"/>
      <w:bookmarkEnd w:id="157"/>
      <w:bookmarkEnd w:id="158"/>
      <w:bookmarkEnd w:id="159"/>
      <w:bookmarkEnd w:id="160"/>
      <w:bookmarkEnd w:id="161"/>
      <w:bookmarkEnd w:id="162"/>
      <w:bookmarkEnd w:id="163"/>
    </w:p>
    <w:p w14:paraId="26348B47" w14:textId="77777777" w:rsidR="00024EAF" w:rsidRPr="002C47B4" w:rsidRDefault="00A724BF" w:rsidP="00024EAF">
      <w:pPr>
        <w:pStyle w:val="BodyText"/>
        <w:spacing w:after="120"/>
        <w:ind w:left="360"/>
        <w:jc w:val="both"/>
        <w:rPr>
          <w:rFonts w:ascii="Arial" w:hAnsi="Arial" w:cs="Arial"/>
          <w:sz w:val="20"/>
          <w:szCs w:val="20"/>
          <w:lang w:val="en-GB"/>
        </w:rPr>
      </w:pPr>
      <w:r w:rsidRPr="002C47B4">
        <w:rPr>
          <w:rFonts w:ascii="Arial" w:hAnsi="Arial" w:cs="Arial"/>
          <w:sz w:val="20"/>
          <w:szCs w:val="20"/>
          <w:lang w:val="en-GB"/>
        </w:rPr>
        <w:t>The previous sections cover the overall capital and control of borrowing prudential indicators, but within this framework prudential indicators are required to assess the affordability of the capital investment plans.   These provide an indication of the impact of the capital investment plans on the Council’s overall finances.  The Council is asked to approve the following indicators:</w:t>
      </w:r>
    </w:p>
    <w:p w14:paraId="48CFEF98" w14:textId="77777777" w:rsidR="00024EAF" w:rsidRPr="002C47B4" w:rsidRDefault="00A724BF" w:rsidP="008C663B">
      <w:pPr>
        <w:pStyle w:val="subhead"/>
        <w:numPr>
          <w:ilvl w:val="0"/>
          <w:numId w:val="0"/>
        </w:numPr>
        <w:ind w:left="720"/>
        <w:rPr>
          <w:noProof w:val="0"/>
          <w:sz w:val="20"/>
          <w:szCs w:val="20"/>
        </w:rPr>
      </w:pPr>
      <w:bookmarkStart w:id="164" w:name="_Toc465068556"/>
      <w:bookmarkStart w:id="165" w:name="_Toc465069756"/>
      <w:bookmarkStart w:id="166" w:name="_Toc465069889"/>
      <w:bookmarkStart w:id="167" w:name="_Toc465071314"/>
      <w:bookmarkStart w:id="168" w:name="_Toc465081938"/>
      <w:bookmarkStart w:id="169" w:name="_Toc465082056"/>
      <w:bookmarkStart w:id="170" w:name="_Toc465082757"/>
      <w:bookmarkStart w:id="171" w:name="_Toc465082896"/>
      <w:bookmarkStart w:id="172" w:name="_Toc465082971"/>
      <w:bookmarkStart w:id="173" w:name="_Toc465083925"/>
      <w:bookmarkStart w:id="174" w:name="_Toc465084169"/>
      <w:bookmarkStart w:id="175" w:name="_Toc465084213"/>
      <w:bookmarkStart w:id="176" w:name="_Toc465084335"/>
      <w:bookmarkStart w:id="177" w:name="_Toc528570131"/>
      <w:bookmarkStart w:id="178" w:name="_Toc22031544"/>
      <w:bookmarkStart w:id="179" w:name="_Toc56008293"/>
      <w:r w:rsidRPr="002C47B4">
        <w:rPr>
          <w:noProof w:val="0"/>
          <w:sz w:val="20"/>
          <w:szCs w:val="20"/>
        </w:rPr>
        <w:t>Ratio of financing costs to net revenue stream</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6C277B06" w14:textId="77777777" w:rsidR="00024EAF" w:rsidRPr="002C47B4" w:rsidRDefault="00A724BF" w:rsidP="00024EAF">
      <w:pPr>
        <w:pStyle w:val="body"/>
        <w:ind w:left="284"/>
        <w:rPr>
          <w:noProof w:val="0"/>
          <w:spacing w:val="0"/>
          <w:sz w:val="20"/>
          <w:szCs w:val="20"/>
        </w:rPr>
      </w:pPr>
      <w:r w:rsidRPr="002C47B4">
        <w:rPr>
          <w:noProof w:val="0"/>
          <w:spacing w:val="0"/>
          <w:sz w:val="20"/>
          <w:szCs w:val="20"/>
        </w:rPr>
        <w:t>This indicator identifies the trend in the cost of capital, (borrowing and other long-term obligation costs net of investment income), against the net revenue stream.</w:t>
      </w:r>
    </w:p>
    <w:p w14:paraId="41A78918" w14:textId="77777777" w:rsidR="00024EAF" w:rsidRPr="002C47B4" w:rsidRDefault="00024EAF" w:rsidP="00024EAF">
      <w:pPr>
        <w:autoSpaceDE w:val="0"/>
        <w:autoSpaceDN w:val="0"/>
        <w:adjustRightInd w:val="0"/>
        <w:jc w:val="both"/>
        <w:rPr>
          <w:rFonts w:cs="Arial"/>
        </w:rPr>
      </w:pPr>
    </w:p>
    <w:tbl>
      <w:tblPr>
        <w:tblW w:w="9200" w:type="dxa"/>
        <w:tblLook w:val="04A0" w:firstRow="1" w:lastRow="0" w:firstColumn="1" w:lastColumn="0" w:noHBand="0" w:noVBand="1"/>
      </w:tblPr>
      <w:tblGrid>
        <w:gridCol w:w="2740"/>
        <w:gridCol w:w="1200"/>
        <w:gridCol w:w="1300"/>
        <w:gridCol w:w="1300"/>
        <w:gridCol w:w="1300"/>
        <w:gridCol w:w="1360"/>
      </w:tblGrid>
      <w:tr w:rsidR="002252C6" w14:paraId="3BD58515" w14:textId="77777777" w:rsidTr="00416DEC">
        <w:trPr>
          <w:trHeight w:val="315"/>
        </w:trPr>
        <w:tc>
          <w:tcPr>
            <w:tcW w:w="2740" w:type="dxa"/>
            <w:vMerge w:val="restart"/>
            <w:tcBorders>
              <w:top w:val="single" w:sz="4" w:space="0" w:color="auto"/>
              <w:left w:val="single" w:sz="4" w:space="0" w:color="auto"/>
              <w:bottom w:val="single" w:sz="4" w:space="0" w:color="auto"/>
              <w:right w:val="single" w:sz="4" w:space="0" w:color="auto"/>
            </w:tcBorders>
            <w:shd w:val="clear" w:color="000000" w:fill="B3B3B3"/>
            <w:vAlign w:val="center"/>
            <w:hideMark/>
          </w:tcPr>
          <w:p w14:paraId="5343378F" w14:textId="77777777" w:rsidR="00416DEC" w:rsidRPr="00416DEC" w:rsidRDefault="00A724BF" w:rsidP="00416DEC">
            <w:pPr>
              <w:jc w:val="both"/>
              <w:rPr>
                <w:rFonts w:cs="Arial"/>
                <w:b/>
                <w:bCs/>
                <w:spacing w:val="0"/>
                <w:sz w:val="22"/>
                <w:szCs w:val="22"/>
                <w:lang w:eastAsia="en-GB"/>
              </w:rPr>
            </w:pPr>
            <w:r w:rsidRPr="00416DEC">
              <w:rPr>
                <w:rFonts w:cs="Arial"/>
                <w:b/>
                <w:bCs/>
                <w:spacing w:val="0"/>
                <w:sz w:val="22"/>
                <w:szCs w:val="22"/>
                <w:lang w:eastAsia="en-GB"/>
              </w:rPr>
              <w:t>%</w:t>
            </w:r>
          </w:p>
        </w:tc>
        <w:tc>
          <w:tcPr>
            <w:tcW w:w="1200" w:type="dxa"/>
            <w:tcBorders>
              <w:top w:val="single" w:sz="4" w:space="0" w:color="auto"/>
              <w:left w:val="nil"/>
              <w:bottom w:val="single" w:sz="4" w:space="0" w:color="auto"/>
              <w:right w:val="single" w:sz="4" w:space="0" w:color="auto"/>
            </w:tcBorders>
            <w:shd w:val="clear" w:color="000000" w:fill="B3B3B3"/>
            <w:vAlign w:val="center"/>
            <w:hideMark/>
          </w:tcPr>
          <w:p w14:paraId="54B73A9F" w14:textId="77777777" w:rsidR="00416DEC" w:rsidRPr="00416DEC" w:rsidRDefault="00A724BF" w:rsidP="00416DEC">
            <w:pPr>
              <w:jc w:val="center"/>
              <w:rPr>
                <w:rFonts w:cs="Arial"/>
                <w:b/>
                <w:bCs/>
                <w:spacing w:val="0"/>
                <w:sz w:val="22"/>
                <w:szCs w:val="22"/>
                <w:lang w:eastAsia="en-GB"/>
              </w:rPr>
            </w:pPr>
            <w:r w:rsidRPr="00416DEC">
              <w:rPr>
                <w:rFonts w:cs="Arial"/>
                <w:b/>
                <w:bCs/>
                <w:spacing w:val="0"/>
                <w:sz w:val="22"/>
                <w:szCs w:val="22"/>
                <w:lang w:eastAsia="en-GB"/>
              </w:rPr>
              <w:t>2021/22</w:t>
            </w:r>
          </w:p>
        </w:tc>
        <w:tc>
          <w:tcPr>
            <w:tcW w:w="1300" w:type="dxa"/>
            <w:tcBorders>
              <w:top w:val="single" w:sz="4" w:space="0" w:color="auto"/>
              <w:left w:val="nil"/>
              <w:bottom w:val="single" w:sz="4" w:space="0" w:color="auto"/>
              <w:right w:val="single" w:sz="4" w:space="0" w:color="auto"/>
            </w:tcBorders>
            <w:shd w:val="clear" w:color="000000" w:fill="B3B3B3"/>
            <w:vAlign w:val="center"/>
            <w:hideMark/>
          </w:tcPr>
          <w:p w14:paraId="1450BF27" w14:textId="77777777" w:rsidR="00416DEC" w:rsidRPr="00416DEC" w:rsidRDefault="00A724BF" w:rsidP="00416DEC">
            <w:pPr>
              <w:jc w:val="center"/>
              <w:rPr>
                <w:rFonts w:cs="Arial"/>
                <w:b/>
                <w:bCs/>
                <w:spacing w:val="0"/>
                <w:sz w:val="22"/>
                <w:szCs w:val="22"/>
                <w:lang w:eastAsia="en-GB"/>
              </w:rPr>
            </w:pPr>
            <w:r w:rsidRPr="00416DEC">
              <w:rPr>
                <w:rFonts w:cs="Arial"/>
                <w:b/>
                <w:bCs/>
                <w:spacing w:val="0"/>
                <w:sz w:val="22"/>
                <w:szCs w:val="22"/>
                <w:lang w:eastAsia="en-GB"/>
              </w:rPr>
              <w:t>2022/23</w:t>
            </w:r>
          </w:p>
        </w:tc>
        <w:tc>
          <w:tcPr>
            <w:tcW w:w="1300" w:type="dxa"/>
            <w:tcBorders>
              <w:top w:val="single" w:sz="4" w:space="0" w:color="auto"/>
              <w:left w:val="nil"/>
              <w:bottom w:val="single" w:sz="4" w:space="0" w:color="auto"/>
              <w:right w:val="single" w:sz="4" w:space="0" w:color="auto"/>
            </w:tcBorders>
            <w:shd w:val="clear" w:color="000000" w:fill="B3B3B3"/>
            <w:vAlign w:val="center"/>
            <w:hideMark/>
          </w:tcPr>
          <w:p w14:paraId="78C20964" w14:textId="77777777" w:rsidR="00416DEC" w:rsidRPr="00416DEC" w:rsidRDefault="00A724BF" w:rsidP="00416DEC">
            <w:pPr>
              <w:jc w:val="center"/>
              <w:rPr>
                <w:rFonts w:cs="Arial"/>
                <w:b/>
                <w:bCs/>
                <w:spacing w:val="0"/>
                <w:sz w:val="22"/>
                <w:szCs w:val="22"/>
                <w:lang w:eastAsia="en-GB"/>
              </w:rPr>
            </w:pPr>
            <w:r w:rsidRPr="00416DEC">
              <w:rPr>
                <w:rFonts w:cs="Arial"/>
                <w:b/>
                <w:bCs/>
                <w:spacing w:val="0"/>
                <w:sz w:val="22"/>
                <w:szCs w:val="22"/>
                <w:lang w:eastAsia="en-GB"/>
              </w:rPr>
              <w:t>2023/24</w:t>
            </w:r>
          </w:p>
        </w:tc>
        <w:tc>
          <w:tcPr>
            <w:tcW w:w="1300" w:type="dxa"/>
            <w:tcBorders>
              <w:top w:val="single" w:sz="4" w:space="0" w:color="auto"/>
              <w:left w:val="nil"/>
              <w:bottom w:val="single" w:sz="4" w:space="0" w:color="auto"/>
              <w:right w:val="single" w:sz="4" w:space="0" w:color="auto"/>
            </w:tcBorders>
            <w:shd w:val="clear" w:color="000000" w:fill="B3B3B3"/>
            <w:vAlign w:val="center"/>
            <w:hideMark/>
          </w:tcPr>
          <w:p w14:paraId="46EF3372" w14:textId="77777777" w:rsidR="00416DEC" w:rsidRPr="00416DEC" w:rsidRDefault="00A724BF" w:rsidP="00416DEC">
            <w:pPr>
              <w:jc w:val="center"/>
              <w:rPr>
                <w:rFonts w:cs="Arial"/>
                <w:b/>
                <w:bCs/>
                <w:spacing w:val="0"/>
                <w:sz w:val="22"/>
                <w:szCs w:val="22"/>
                <w:lang w:eastAsia="en-GB"/>
              </w:rPr>
            </w:pPr>
            <w:r w:rsidRPr="00416DEC">
              <w:rPr>
                <w:rFonts w:cs="Arial"/>
                <w:b/>
                <w:bCs/>
                <w:spacing w:val="0"/>
                <w:sz w:val="22"/>
                <w:szCs w:val="22"/>
                <w:lang w:eastAsia="en-GB"/>
              </w:rPr>
              <w:t>2024/25</w:t>
            </w:r>
          </w:p>
        </w:tc>
        <w:tc>
          <w:tcPr>
            <w:tcW w:w="1360" w:type="dxa"/>
            <w:tcBorders>
              <w:top w:val="single" w:sz="4" w:space="0" w:color="auto"/>
              <w:left w:val="nil"/>
              <w:bottom w:val="single" w:sz="4" w:space="0" w:color="auto"/>
              <w:right w:val="single" w:sz="4" w:space="0" w:color="auto"/>
            </w:tcBorders>
            <w:shd w:val="clear" w:color="000000" w:fill="B3B3B3"/>
            <w:vAlign w:val="center"/>
            <w:hideMark/>
          </w:tcPr>
          <w:p w14:paraId="61956877" w14:textId="77777777" w:rsidR="00416DEC" w:rsidRPr="00416DEC" w:rsidRDefault="00A724BF" w:rsidP="00416DEC">
            <w:pPr>
              <w:jc w:val="center"/>
              <w:rPr>
                <w:rFonts w:cs="Arial"/>
                <w:b/>
                <w:bCs/>
                <w:spacing w:val="0"/>
                <w:sz w:val="22"/>
                <w:szCs w:val="22"/>
                <w:lang w:eastAsia="en-GB"/>
              </w:rPr>
            </w:pPr>
            <w:r w:rsidRPr="00416DEC">
              <w:rPr>
                <w:rFonts w:cs="Arial"/>
                <w:b/>
                <w:bCs/>
                <w:spacing w:val="0"/>
                <w:sz w:val="22"/>
                <w:szCs w:val="22"/>
                <w:lang w:eastAsia="en-GB"/>
              </w:rPr>
              <w:t>2025/26</w:t>
            </w:r>
          </w:p>
        </w:tc>
      </w:tr>
      <w:tr w:rsidR="002252C6" w14:paraId="61A4D080" w14:textId="77777777" w:rsidTr="00416DEC">
        <w:trPr>
          <w:trHeight w:val="315"/>
        </w:trPr>
        <w:tc>
          <w:tcPr>
            <w:tcW w:w="2740" w:type="dxa"/>
            <w:vMerge/>
            <w:tcBorders>
              <w:top w:val="single" w:sz="4" w:space="0" w:color="auto"/>
              <w:left w:val="single" w:sz="4" w:space="0" w:color="auto"/>
              <w:bottom w:val="single" w:sz="4" w:space="0" w:color="auto"/>
              <w:right w:val="single" w:sz="4" w:space="0" w:color="auto"/>
            </w:tcBorders>
            <w:vAlign w:val="center"/>
            <w:hideMark/>
          </w:tcPr>
          <w:p w14:paraId="095F4708" w14:textId="77777777" w:rsidR="00416DEC" w:rsidRPr="00416DEC" w:rsidRDefault="00416DEC" w:rsidP="00416DEC">
            <w:pPr>
              <w:rPr>
                <w:rFonts w:cs="Arial"/>
                <w:b/>
                <w:bCs/>
                <w:spacing w:val="0"/>
                <w:sz w:val="22"/>
                <w:szCs w:val="22"/>
                <w:lang w:eastAsia="en-GB"/>
              </w:rPr>
            </w:pPr>
          </w:p>
        </w:tc>
        <w:tc>
          <w:tcPr>
            <w:tcW w:w="1200" w:type="dxa"/>
            <w:tcBorders>
              <w:top w:val="nil"/>
              <w:left w:val="nil"/>
              <w:bottom w:val="single" w:sz="4" w:space="0" w:color="auto"/>
              <w:right w:val="single" w:sz="4" w:space="0" w:color="auto"/>
            </w:tcBorders>
            <w:shd w:val="clear" w:color="000000" w:fill="B3B3B3"/>
            <w:vAlign w:val="center"/>
            <w:hideMark/>
          </w:tcPr>
          <w:p w14:paraId="2734AD90" w14:textId="77777777" w:rsidR="00416DEC" w:rsidRPr="00416DEC" w:rsidRDefault="00A724BF" w:rsidP="00416DEC">
            <w:pPr>
              <w:jc w:val="center"/>
              <w:rPr>
                <w:rFonts w:cs="Arial"/>
                <w:b/>
                <w:bCs/>
                <w:spacing w:val="0"/>
                <w:sz w:val="22"/>
                <w:szCs w:val="22"/>
                <w:lang w:eastAsia="en-GB"/>
              </w:rPr>
            </w:pPr>
            <w:r w:rsidRPr="00416DEC">
              <w:rPr>
                <w:rFonts w:cs="Arial"/>
                <w:b/>
                <w:bCs/>
                <w:spacing w:val="0"/>
                <w:sz w:val="22"/>
                <w:szCs w:val="22"/>
                <w:lang w:eastAsia="en-GB"/>
              </w:rPr>
              <w:t>Actual</w:t>
            </w:r>
          </w:p>
        </w:tc>
        <w:tc>
          <w:tcPr>
            <w:tcW w:w="1300" w:type="dxa"/>
            <w:tcBorders>
              <w:top w:val="nil"/>
              <w:left w:val="nil"/>
              <w:bottom w:val="single" w:sz="4" w:space="0" w:color="auto"/>
              <w:right w:val="single" w:sz="4" w:space="0" w:color="auto"/>
            </w:tcBorders>
            <w:shd w:val="clear" w:color="000000" w:fill="B3B3B3"/>
            <w:vAlign w:val="center"/>
            <w:hideMark/>
          </w:tcPr>
          <w:p w14:paraId="2AF334DF" w14:textId="77777777" w:rsidR="00416DEC" w:rsidRPr="00416DEC" w:rsidRDefault="00A724BF" w:rsidP="00416DEC">
            <w:pPr>
              <w:jc w:val="center"/>
              <w:rPr>
                <w:rFonts w:cs="Arial"/>
                <w:b/>
                <w:bCs/>
                <w:spacing w:val="0"/>
                <w:sz w:val="22"/>
                <w:szCs w:val="22"/>
                <w:lang w:eastAsia="en-GB"/>
              </w:rPr>
            </w:pPr>
            <w:r w:rsidRPr="00416DEC">
              <w:rPr>
                <w:rFonts w:cs="Arial"/>
                <w:b/>
                <w:bCs/>
                <w:spacing w:val="0"/>
                <w:sz w:val="22"/>
                <w:szCs w:val="22"/>
                <w:lang w:eastAsia="en-GB"/>
              </w:rPr>
              <w:t>Estimate</w:t>
            </w:r>
          </w:p>
        </w:tc>
        <w:tc>
          <w:tcPr>
            <w:tcW w:w="1300" w:type="dxa"/>
            <w:tcBorders>
              <w:top w:val="nil"/>
              <w:left w:val="nil"/>
              <w:bottom w:val="single" w:sz="4" w:space="0" w:color="auto"/>
              <w:right w:val="single" w:sz="4" w:space="0" w:color="auto"/>
            </w:tcBorders>
            <w:shd w:val="clear" w:color="000000" w:fill="B3B3B3"/>
            <w:vAlign w:val="center"/>
            <w:hideMark/>
          </w:tcPr>
          <w:p w14:paraId="4F401465" w14:textId="77777777" w:rsidR="00416DEC" w:rsidRPr="00416DEC" w:rsidRDefault="00A724BF" w:rsidP="00416DEC">
            <w:pPr>
              <w:jc w:val="center"/>
              <w:rPr>
                <w:rFonts w:cs="Arial"/>
                <w:b/>
                <w:bCs/>
                <w:spacing w:val="0"/>
                <w:sz w:val="22"/>
                <w:szCs w:val="22"/>
                <w:lang w:eastAsia="en-GB"/>
              </w:rPr>
            </w:pPr>
            <w:r w:rsidRPr="00416DEC">
              <w:rPr>
                <w:rFonts w:cs="Arial"/>
                <w:b/>
                <w:bCs/>
                <w:spacing w:val="0"/>
                <w:sz w:val="22"/>
                <w:szCs w:val="22"/>
                <w:lang w:eastAsia="en-GB"/>
              </w:rPr>
              <w:t>Estimate</w:t>
            </w:r>
          </w:p>
        </w:tc>
        <w:tc>
          <w:tcPr>
            <w:tcW w:w="1300" w:type="dxa"/>
            <w:tcBorders>
              <w:top w:val="nil"/>
              <w:left w:val="nil"/>
              <w:bottom w:val="single" w:sz="4" w:space="0" w:color="auto"/>
              <w:right w:val="single" w:sz="4" w:space="0" w:color="auto"/>
            </w:tcBorders>
            <w:shd w:val="clear" w:color="000000" w:fill="B3B3B3"/>
            <w:vAlign w:val="center"/>
            <w:hideMark/>
          </w:tcPr>
          <w:p w14:paraId="685B482C" w14:textId="77777777" w:rsidR="00416DEC" w:rsidRPr="00416DEC" w:rsidRDefault="00A724BF" w:rsidP="00416DEC">
            <w:pPr>
              <w:jc w:val="center"/>
              <w:rPr>
                <w:rFonts w:cs="Arial"/>
                <w:b/>
                <w:bCs/>
                <w:spacing w:val="0"/>
                <w:sz w:val="22"/>
                <w:szCs w:val="22"/>
                <w:lang w:eastAsia="en-GB"/>
              </w:rPr>
            </w:pPr>
            <w:r w:rsidRPr="00416DEC">
              <w:rPr>
                <w:rFonts w:cs="Arial"/>
                <w:b/>
                <w:bCs/>
                <w:spacing w:val="0"/>
                <w:sz w:val="22"/>
                <w:szCs w:val="22"/>
                <w:lang w:eastAsia="en-GB"/>
              </w:rPr>
              <w:t>Estimate</w:t>
            </w:r>
          </w:p>
        </w:tc>
        <w:tc>
          <w:tcPr>
            <w:tcW w:w="1360" w:type="dxa"/>
            <w:tcBorders>
              <w:top w:val="nil"/>
              <w:left w:val="nil"/>
              <w:bottom w:val="single" w:sz="4" w:space="0" w:color="auto"/>
              <w:right w:val="single" w:sz="4" w:space="0" w:color="auto"/>
            </w:tcBorders>
            <w:shd w:val="clear" w:color="000000" w:fill="B3B3B3"/>
            <w:vAlign w:val="center"/>
            <w:hideMark/>
          </w:tcPr>
          <w:p w14:paraId="10ECA5E4" w14:textId="77777777" w:rsidR="00416DEC" w:rsidRPr="00416DEC" w:rsidRDefault="00A724BF" w:rsidP="00416DEC">
            <w:pPr>
              <w:jc w:val="center"/>
              <w:rPr>
                <w:rFonts w:cs="Arial"/>
                <w:b/>
                <w:bCs/>
                <w:spacing w:val="0"/>
                <w:sz w:val="22"/>
                <w:szCs w:val="22"/>
                <w:lang w:eastAsia="en-GB"/>
              </w:rPr>
            </w:pPr>
            <w:r w:rsidRPr="00416DEC">
              <w:rPr>
                <w:rFonts w:cs="Arial"/>
                <w:b/>
                <w:bCs/>
                <w:spacing w:val="0"/>
                <w:sz w:val="22"/>
                <w:szCs w:val="22"/>
                <w:lang w:eastAsia="en-GB"/>
              </w:rPr>
              <w:t>Estimate</w:t>
            </w:r>
          </w:p>
        </w:tc>
      </w:tr>
      <w:tr w:rsidR="002252C6" w14:paraId="0E6ECF52" w14:textId="77777777" w:rsidTr="00416DEC">
        <w:trPr>
          <w:trHeight w:val="315"/>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0ADFB2F1" w14:textId="77777777" w:rsidR="00416DEC" w:rsidRPr="00416DEC" w:rsidRDefault="00A724BF" w:rsidP="00416DEC">
            <w:pPr>
              <w:rPr>
                <w:rFonts w:cs="Arial"/>
                <w:b/>
                <w:bCs/>
                <w:spacing w:val="0"/>
                <w:lang w:eastAsia="en-GB"/>
              </w:rPr>
            </w:pPr>
            <w:r w:rsidRPr="00416DEC">
              <w:rPr>
                <w:rFonts w:cs="Arial"/>
                <w:b/>
                <w:bCs/>
                <w:spacing w:val="0"/>
                <w:lang w:eastAsia="en-GB"/>
              </w:rPr>
              <w:t>Ratio</w:t>
            </w:r>
          </w:p>
        </w:tc>
        <w:tc>
          <w:tcPr>
            <w:tcW w:w="1200" w:type="dxa"/>
            <w:tcBorders>
              <w:top w:val="nil"/>
              <w:left w:val="nil"/>
              <w:bottom w:val="single" w:sz="4" w:space="0" w:color="auto"/>
              <w:right w:val="single" w:sz="4" w:space="0" w:color="auto"/>
            </w:tcBorders>
            <w:shd w:val="clear" w:color="auto" w:fill="auto"/>
            <w:vAlign w:val="center"/>
            <w:hideMark/>
          </w:tcPr>
          <w:p w14:paraId="42E0855E" w14:textId="77777777" w:rsidR="00416DEC" w:rsidRPr="00416DEC" w:rsidRDefault="00A724BF" w:rsidP="00416DEC">
            <w:pPr>
              <w:jc w:val="right"/>
              <w:rPr>
                <w:rFonts w:cs="Arial"/>
                <w:spacing w:val="0"/>
                <w:lang w:eastAsia="en-GB"/>
              </w:rPr>
            </w:pPr>
            <w:r w:rsidRPr="00416DEC">
              <w:rPr>
                <w:rFonts w:cs="Arial"/>
                <w:spacing w:val="0"/>
                <w:lang w:eastAsia="en-GB"/>
              </w:rPr>
              <w:t>12%</w:t>
            </w:r>
          </w:p>
        </w:tc>
        <w:tc>
          <w:tcPr>
            <w:tcW w:w="1300" w:type="dxa"/>
            <w:tcBorders>
              <w:top w:val="nil"/>
              <w:left w:val="nil"/>
              <w:bottom w:val="single" w:sz="4" w:space="0" w:color="auto"/>
              <w:right w:val="single" w:sz="4" w:space="0" w:color="auto"/>
            </w:tcBorders>
            <w:shd w:val="clear" w:color="auto" w:fill="auto"/>
            <w:vAlign w:val="center"/>
            <w:hideMark/>
          </w:tcPr>
          <w:p w14:paraId="3A693B5E" w14:textId="77777777" w:rsidR="00416DEC" w:rsidRPr="00416DEC" w:rsidRDefault="00A724BF" w:rsidP="00416DEC">
            <w:pPr>
              <w:jc w:val="right"/>
              <w:rPr>
                <w:rFonts w:cs="Arial"/>
                <w:spacing w:val="0"/>
                <w:lang w:eastAsia="en-GB"/>
              </w:rPr>
            </w:pPr>
            <w:r w:rsidRPr="00416DEC">
              <w:rPr>
                <w:rFonts w:cs="Arial"/>
                <w:spacing w:val="0"/>
                <w:lang w:eastAsia="en-GB"/>
              </w:rPr>
              <w:t>10%</w:t>
            </w:r>
          </w:p>
        </w:tc>
        <w:tc>
          <w:tcPr>
            <w:tcW w:w="1300" w:type="dxa"/>
            <w:tcBorders>
              <w:top w:val="nil"/>
              <w:left w:val="nil"/>
              <w:bottom w:val="single" w:sz="4" w:space="0" w:color="auto"/>
              <w:right w:val="single" w:sz="4" w:space="0" w:color="auto"/>
            </w:tcBorders>
            <w:shd w:val="clear" w:color="auto" w:fill="auto"/>
            <w:vAlign w:val="center"/>
            <w:hideMark/>
          </w:tcPr>
          <w:p w14:paraId="72176547" w14:textId="77777777" w:rsidR="00416DEC" w:rsidRPr="00416DEC" w:rsidRDefault="00A724BF" w:rsidP="00416DEC">
            <w:pPr>
              <w:jc w:val="right"/>
              <w:rPr>
                <w:rFonts w:cs="Arial"/>
                <w:spacing w:val="0"/>
                <w:lang w:eastAsia="en-GB"/>
              </w:rPr>
            </w:pPr>
            <w:r w:rsidRPr="00416DEC">
              <w:rPr>
                <w:rFonts w:cs="Arial"/>
                <w:spacing w:val="0"/>
                <w:lang w:eastAsia="en-GB"/>
              </w:rPr>
              <w:t>18%</w:t>
            </w:r>
          </w:p>
        </w:tc>
        <w:tc>
          <w:tcPr>
            <w:tcW w:w="1300" w:type="dxa"/>
            <w:tcBorders>
              <w:top w:val="nil"/>
              <w:left w:val="nil"/>
              <w:bottom w:val="single" w:sz="4" w:space="0" w:color="auto"/>
              <w:right w:val="single" w:sz="4" w:space="0" w:color="auto"/>
            </w:tcBorders>
            <w:shd w:val="clear" w:color="auto" w:fill="auto"/>
            <w:vAlign w:val="center"/>
            <w:hideMark/>
          </w:tcPr>
          <w:p w14:paraId="069556B9" w14:textId="77777777" w:rsidR="00416DEC" w:rsidRPr="00416DEC" w:rsidRDefault="00A724BF" w:rsidP="00416DEC">
            <w:pPr>
              <w:jc w:val="right"/>
              <w:rPr>
                <w:rFonts w:cs="Arial"/>
                <w:spacing w:val="0"/>
                <w:lang w:eastAsia="en-GB"/>
              </w:rPr>
            </w:pPr>
            <w:r w:rsidRPr="00416DEC">
              <w:rPr>
                <w:rFonts w:cs="Arial"/>
                <w:spacing w:val="0"/>
                <w:lang w:eastAsia="en-GB"/>
              </w:rPr>
              <w:t>32%</w:t>
            </w:r>
          </w:p>
        </w:tc>
        <w:tc>
          <w:tcPr>
            <w:tcW w:w="1360" w:type="dxa"/>
            <w:tcBorders>
              <w:top w:val="nil"/>
              <w:left w:val="nil"/>
              <w:bottom w:val="single" w:sz="4" w:space="0" w:color="auto"/>
              <w:right w:val="single" w:sz="4" w:space="0" w:color="auto"/>
            </w:tcBorders>
            <w:shd w:val="clear" w:color="auto" w:fill="auto"/>
            <w:vAlign w:val="center"/>
            <w:hideMark/>
          </w:tcPr>
          <w:p w14:paraId="2A2CA97C" w14:textId="77777777" w:rsidR="00416DEC" w:rsidRPr="00416DEC" w:rsidRDefault="00A724BF" w:rsidP="00416DEC">
            <w:pPr>
              <w:jc w:val="right"/>
              <w:rPr>
                <w:rFonts w:cs="Arial"/>
                <w:spacing w:val="0"/>
                <w:lang w:eastAsia="en-GB"/>
              </w:rPr>
            </w:pPr>
            <w:r w:rsidRPr="00416DEC">
              <w:rPr>
                <w:rFonts w:cs="Arial"/>
                <w:spacing w:val="0"/>
                <w:lang w:eastAsia="en-GB"/>
              </w:rPr>
              <w:t>30%</w:t>
            </w:r>
          </w:p>
        </w:tc>
      </w:tr>
    </w:tbl>
    <w:p w14:paraId="4C142506" w14:textId="77777777" w:rsidR="006A186C" w:rsidRDefault="006A186C" w:rsidP="00024EAF">
      <w:pPr>
        <w:autoSpaceDE w:val="0"/>
        <w:autoSpaceDN w:val="0"/>
        <w:adjustRightInd w:val="0"/>
        <w:jc w:val="both"/>
        <w:rPr>
          <w:rFonts w:cs="Arial"/>
        </w:rPr>
      </w:pPr>
    </w:p>
    <w:p w14:paraId="3BDD45C6" w14:textId="77777777" w:rsidR="006A186C" w:rsidRPr="00B66EDA" w:rsidRDefault="006A186C" w:rsidP="00024EAF">
      <w:pPr>
        <w:autoSpaceDE w:val="0"/>
        <w:autoSpaceDN w:val="0"/>
        <w:adjustRightInd w:val="0"/>
        <w:jc w:val="both"/>
        <w:rPr>
          <w:rFonts w:cs="Arial"/>
        </w:rPr>
      </w:pPr>
    </w:p>
    <w:p w14:paraId="32CA9AAB" w14:textId="77777777" w:rsidR="00024EAF" w:rsidRPr="00B66EDA" w:rsidRDefault="00A724BF" w:rsidP="00024EAF">
      <w:pPr>
        <w:pStyle w:val="BodyText"/>
        <w:ind w:left="360"/>
        <w:jc w:val="both"/>
        <w:rPr>
          <w:rFonts w:ascii="Arial" w:hAnsi="Arial" w:cs="Arial"/>
          <w:sz w:val="20"/>
          <w:szCs w:val="20"/>
          <w:lang w:val="en-GB"/>
        </w:rPr>
      </w:pPr>
      <w:r w:rsidRPr="00B66EDA">
        <w:rPr>
          <w:rFonts w:ascii="Arial" w:hAnsi="Arial" w:cs="Arial"/>
          <w:sz w:val="20"/>
          <w:szCs w:val="20"/>
          <w:lang w:val="en-GB"/>
        </w:rPr>
        <w:t>The estimates of financing costs include current commitments and the proposals in this budget report.</w:t>
      </w:r>
    </w:p>
    <w:p w14:paraId="219C4E84" w14:textId="77777777" w:rsidR="00024EAF" w:rsidRPr="00B66EDA" w:rsidRDefault="00024EAF" w:rsidP="00024EAF">
      <w:pPr>
        <w:pStyle w:val="BodyText"/>
        <w:ind w:left="360"/>
        <w:jc w:val="both"/>
        <w:rPr>
          <w:rFonts w:ascii="Arial" w:hAnsi="Arial" w:cs="Arial"/>
          <w:sz w:val="20"/>
          <w:szCs w:val="20"/>
          <w:lang w:val="en-GB"/>
        </w:rPr>
      </w:pPr>
    </w:p>
    <w:p w14:paraId="047CE0DE" w14:textId="77777777" w:rsidR="0037071C" w:rsidRPr="00B66EDA" w:rsidRDefault="0037071C" w:rsidP="00024EAF">
      <w:pPr>
        <w:pStyle w:val="body"/>
        <w:ind w:left="284"/>
        <w:rPr>
          <w:noProof w:val="0"/>
          <w:sz w:val="20"/>
          <w:szCs w:val="20"/>
        </w:rPr>
      </w:pPr>
    </w:p>
    <w:p w14:paraId="45CB5FFE" w14:textId="77777777" w:rsidR="004364B0" w:rsidRPr="00B66EDA" w:rsidRDefault="00A724BF" w:rsidP="00CF69B5">
      <w:pPr>
        <w:pStyle w:val="BodyText"/>
        <w:numPr>
          <w:ilvl w:val="2"/>
          <w:numId w:val="13"/>
        </w:numPr>
        <w:spacing w:after="120"/>
        <w:jc w:val="both"/>
        <w:rPr>
          <w:rFonts w:ascii="Arial" w:hAnsi="Arial" w:cs="Arial"/>
          <w:b/>
          <w:sz w:val="22"/>
          <w:szCs w:val="22"/>
        </w:rPr>
      </w:pPr>
      <w:bookmarkStart w:id="180" w:name="_Incremental_impact_of"/>
      <w:bookmarkEnd w:id="180"/>
      <w:r w:rsidRPr="00B66EDA">
        <w:rPr>
          <w:rFonts w:ascii="Arial" w:hAnsi="Arial" w:cs="Arial"/>
          <w:b/>
          <w:sz w:val="22"/>
          <w:szCs w:val="22"/>
        </w:rPr>
        <w:t>Maturity structure of borrowing</w:t>
      </w:r>
    </w:p>
    <w:p w14:paraId="262E67B8" w14:textId="77777777" w:rsidR="00A12F30" w:rsidRPr="00B66EDA" w:rsidRDefault="00A724BF" w:rsidP="004364B0">
      <w:pPr>
        <w:pStyle w:val="BodyText"/>
        <w:spacing w:after="120"/>
        <w:ind w:left="357"/>
        <w:jc w:val="both"/>
        <w:rPr>
          <w:rFonts w:ascii="Arial" w:hAnsi="Arial" w:cs="Arial"/>
          <w:i/>
          <w:color w:val="0000FF"/>
          <w:sz w:val="20"/>
          <w:szCs w:val="20"/>
          <w:lang w:val="en-GB"/>
        </w:rPr>
      </w:pPr>
      <w:r w:rsidRPr="00B66EDA">
        <w:rPr>
          <w:rFonts w:ascii="Arial" w:hAnsi="Arial" w:cs="Arial"/>
          <w:sz w:val="20"/>
          <w:szCs w:val="20"/>
          <w:lang w:val="en-GB"/>
        </w:rPr>
        <w:t xml:space="preserve">Maturity structure of borrowing. These gross limits are set to reduce the Council’s exposure to </w:t>
      </w:r>
      <w:proofErr w:type="gramStart"/>
      <w:r w:rsidRPr="00B66EDA">
        <w:rPr>
          <w:rFonts w:ascii="Arial" w:hAnsi="Arial" w:cs="Arial"/>
          <w:sz w:val="20"/>
          <w:szCs w:val="20"/>
          <w:lang w:val="en-GB"/>
        </w:rPr>
        <w:t>large fixed</w:t>
      </w:r>
      <w:proofErr w:type="gramEnd"/>
      <w:r w:rsidRPr="00B66EDA">
        <w:rPr>
          <w:rFonts w:ascii="Arial" w:hAnsi="Arial" w:cs="Arial"/>
          <w:sz w:val="20"/>
          <w:szCs w:val="20"/>
          <w:lang w:val="en-GB"/>
        </w:rPr>
        <w:t xml:space="preserve"> rate sums falling due for refinancing, and are required for upper and lower limits.</w:t>
      </w:r>
    </w:p>
    <w:p w14:paraId="5D4DCC84" w14:textId="4ED72C26" w:rsidR="00A12F30" w:rsidRDefault="00A724BF" w:rsidP="005F1A08">
      <w:pPr>
        <w:pStyle w:val="BodyText"/>
        <w:spacing w:after="120"/>
        <w:ind w:left="357"/>
        <w:jc w:val="both"/>
        <w:rPr>
          <w:rFonts w:ascii="Arial" w:hAnsi="Arial" w:cs="Arial"/>
          <w:sz w:val="20"/>
          <w:szCs w:val="20"/>
          <w:lang w:val="en-GB"/>
        </w:rPr>
      </w:pPr>
      <w:r w:rsidRPr="00B66EDA">
        <w:rPr>
          <w:rFonts w:ascii="Arial" w:hAnsi="Arial" w:cs="Arial"/>
          <w:sz w:val="20"/>
          <w:szCs w:val="20"/>
          <w:lang w:val="en-GB"/>
        </w:rPr>
        <w:t>The Council is asked to approve the following treasury indicators and limits:</w:t>
      </w:r>
    </w:p>
    <w:p w14:paraId="2FC58878" w14:textId="48113531" w:rsidR="00535FDB" w:rsidRDefault="00535FDB" w:rsidP="005F1A08">
      <w:pPr>
        <w:pStyle w:val="BodyText"/>
        <w:spacing w:after="120"/>
        <w:ind w:left="357"/>
        <w:jc w:val="both"/>
        <w:rPr>
          <w:rFonts w:ascii="Arial" w:hAnsi="Arial" w:cs="Arial"/>
          <w:sz w:val="20"/>
          <w:szCs w:val="20"/>
          <w:lang w:val="en-GB"/>
        </w:rPr>
      </w:pPr>
    </w:p>
    <w:p w14:paraId="57326B39" w14:textId="77777777" w:rsidR="00535FDB" w:rsidRDefault="00535FDB" w:rsidP="005F1A08">
      <w:pPr>
        <w:pStyle w:val="BodyText"/>
        <w:spacing w:after="120"/>
        <w:ind w:left="357"/>
        <w:jc w:val="both"/>
        <w:rPr>
          <w:rFonts w:ascii="Arial" w:hAnsi="Arial" w:cs="Arial"/>
          <w:sz w:val="20"/>
          <w:szCs w:val="20"/>
          <w:lang w:val="en-GB"/>
        </w:rPr>
      </w:pPr>
    </w:p>
    <w:p w14:paraId="0CABD985" w14:textId="77777777" w:rsidR="0075667C" w:rsidRPr="00B66EDA" w:rsidRDefault="0075667C" w:rsidP="005F1A08">
      <w:pPr>
        <w:pStyle w:val="BodyText"/>
        <w:spacing w:after="120"/>
        <w:ind w:left="357"/>
        <w:jc w:val="both"/>
        <w:rPr>
          <w:rFonts w:ascii="Arial" w:hAnsi="Arial" w:cs="Arial"/>
          <w:sz w:val="20"/>
          <w:szCs w:val="20"/>
          <w:lang w:val="en-GB"/>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1980"/>
        <w:gridCol w:w="1800"/>
      </w:tblGrid>
      <w:tr w:rsidR="002252C6" w14:paraId="07057BCF" w14:textId="77777777" w:rsidTr="00A33FAE">
        <w:trPr>
          <w:cantSplit/>
        </w:trPr>
        <w:tc>
          <w:tcPr>
            <w:tcW w:w="8568" w:type="dxa"/>
            <w:gridSpan w:val="3"/>
            <w:shd w:val="clear" w:color="auto" w:fill="C0C0C0"/>
          </w:tcPr>
          <w:p w14:paraId="37C47691" w14:textId="77777777" w:rsidR="00B66EDA" w:rsidRPr="000C1CD6" w:rsidRDefault="00A724BF" w:rsidP="000C1CD6">
            <w:pPr>
              <w:pStyle w:val="BodyText"/>
              <w:rPr>
                <w:rFonts w:ascii="Arial" w:hAnsi="Arial" w:cs="Arial"/>
                <w:b/>
                <w:bCs/>
                <w:sz w:val="20"/>
                <w:szCs w:val="20"/>
                <w:lang w:val="en-GB"/>
              </w:rPr>
            </w:pPr>
            <w:r w:rsidRPr="000C1CD6">
              <w:rPr>
                <w:rFonts w:ascii="Arial" w:hAnsi="Arial" w:cs="Arial"/>
                <w:b/>
                <w:bCs/>
                <w:sz w:val="20"/>
                <w:szCs w:val="20"/>
                <w:lang w:val="en-GB"/>
              </w:rPr>
              <w:lastRenderedPageBreak/>
              <w:t xml:space="preserve">Maturity structure of fixed interest rate borrowing </w:t>
            </w:r>
            <w:r w:rsidR="00696A5D">
              <w:rPr>
                <w:rFonts w:ascii="Arial" w:hAnsi="Arial" w:cs="Arial"/>
                <w:b/>
                <w:bCs/>
                <w:sz w:val="20"/>
                <w:szCs w:val="20"/>
                <w:lang w:val="en-GB"/>
              </w:rPr>
              <w:t>2023/24</w:t>
            </w:r>
          </w:p>
        </w:tc>
      </w:tr>
      <w:tr w:rsidR="002252C6" w14:paraId="35451A17" w14:textId="77777777" w:rsidTr="00A33FAE">
        <w:trPr>
          <w:cantSplit/>
        </w:trPr>
        <w:tc>
          <w:tcPr>
            <w:tcW w:w="4788" w:type="dxa"/>
          </w:tcPr>
          <w:p w14:paraId="786B7396" w14:textId="77777777" w:rsidR="00B66EDA" w:rsidRPr="000C1CD6" w:rsidRDefault="00B66EDA" w:rsidP="00A33FAE">
            <w:pPr>
              <w:pStyle w:val="BodyText"/>
              <w:rPr>
                <w:rFonts w:ascii="Arial" w:hAnsi="Arial" w:cs="Arial"/>
                <w:b/>
                <w:bCs/>
                <w:sz w:val="20"/>
                <w:szCs w:val="20"/>
                <w:lang w:val="en-GB"/>
              </w:rPr>
            </w:pPr>
          </w:p>
        </w:tc>
        <w:tc>
          <w:tcPr>
            <w:tcW w:w="1980" w:type="dxa"/>
          </w:tcPr>
          <w:p w14:paraId="4D3E34F5" w14:textId="77777777" w:rsidR="00B66EDA" w:rsidRPr="000C1CD6" w:rsidRDefault="00A724BF" w:rsidP="00A33FAE">
            <w:pPr>
              <w:pStyle w:val="BodyText"/>
              <w:jc w:val="center"/>
              <w:rPr>
                <w:rFonts w:ascii="Arial" w:hAnsi="Arial" w:cs="Arial"/>
                <w:b/>
                <w:bCs/>
                <w:sz w:val="20"/>
                <w:szCs w:val="20"/>
                <w:lang w:val="en-GB"/>
              </w:rPr>
            </w:pPr>
            <w:r w:rsidRPr="000C1CD6">
              <w:rPr>
                <w:rFonts w:ascii="Arial" w:hAnsi="Arial" w:cs="Arial"/>
                <w:b/>
                <w:bCs/>
                <w:sz w:val="20"/>
                <w:szCs w:val="20"/>
                <w:lang w:val="en-GB"/>
              </w:rPr>
              <w:t>Lower</w:t>
            </w:r>
          </w:p>
        </w:tc>
        <w:tc>
          <w:tcPr>
            <w:tcW w:w="1800" w:type="dxa"/>
          </w:tcPr>
          <w:p w14:paraId="66827165" w14:textId="77777777" w:rsidR="00B66EDA" w:rsidRPr="000C1CD6" w:rsidRDefault="00A724BF" w:rsidP="00A33FAE">
            <w:pPr>
              <w:pStyle w:val="BodyText"/>
              <w:jc w:val="center"/>
              <w:rPr>
                <w:rFonts w:ascii="Arial" w:hAnsi="Arial" w:cs="Arial"/>
                <w:b/>
                <w:bCs/>
                <w:sz w:val="20"/>
                <w:szCs w:val="20"/>
                <w:lang w:val="en-GB"/>
              </w:rPr>
            </w:pPr>
            <w:r w:rsidRPr="000C1CD6">
              <w:rPr>
                <w:rFonts w:ascii="Arial" w:hAnsi="Arial" w:cs="Arial"/>
                <w:b/>
                <w:bCs/>
                <w:sz w:val="20"/>
                <w:szCs w:val="20"/>
                <w:lang w:val="en-GB"/>
              </w:rPr>
              <w:t>Upper</w:t>
            </w:r>
          </w:p>
        </w:tc>
      </w:tr>
      <w:tr w:rsidR="002252C6" w14:paraId="5260BB47" w14:textId="77777777" w:rsidTr="00A33FAE">
        <w:trPr>
          <w:cantSplit/>
          <w:trHeight w:val="331"/>
        </w:trPr>
        <w:tc>
          <w:tcPr>
            <w:tcW w:w="4788" w:type="dxa"/>
          </w:tcPr>
          <w:p w14:paraId="3706BB7F" w14:textId="77777777" w:rsidR="00B66EDA" w:rsidRPr="000C1CD6" w:rsidRDefault="00A724BF" w:rsidP="00A33FAE">
            <w:pPr>
              <w:pStyle w:val="BodyText"/>
              <w:rPr>
                <w:rFonts w:ascii="Arial" w:hAnsi="Arial" w:cs="Arial"/>
                <w:sz w:val="20"/>
                <w:szCs w:val="20"/>
                <w:lang w:val="en-GB"/>
              </w:rPr>
            </w:pPr>
            <w:r w:rsidRPr="000C1CD6">
              <w:rPr>
                <w:rFonts w:ascii="Arial" w:hAnsi="Arial" w:cs="Arial"/>
                <w:sz w:val="20"/>
                <w:szCs w:val="20"/>
                <w:lang w:val="en-GB"/>
              </w:rPr>
              <w:t>Under 12 months</w:t>
            </w:r>
          </w:p>
        </w:tc>
        <w:tc>
          <w:tcPr>
            <w:tcW w:w="1980" w:type="dxa"/>
          </w:tcPr>
          <w:p w14:paraId="1853DA7F"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0%</w:t>
            </w:r>
          </w:p>
        </w:tc>
        <w:tc>
          <w:tcPr>
            <w:tcW w:w="1800" w:type="dxa"/>
          </w:tcPr>
          <w:p w14:paraId="63F1E811"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20%</w:t>
            </w:r>
          </w:p>
        </w:tc>
      </w:tr>
      <w:tr w:rsidR="002252C6" w14:paraId="7EFAE446" w14:textId="77777777" w:rsidTr="00A33FAE">
        <w:trPr>
          <w:cantSplit/>
        </w:trPr>
        <w:tc>
          <w:tcPr>
            <w:tcW w:w="4788" w:type="dxa"/>
          </w:tcPr>
          <w:p w14:paraId="63FD6A3B" w14:textId="77777777" w:rsidR="00B66EDA" w:rsidRPr="000C1CD6" w:rsidRDefault="00A724BF" w:rsidP="00A33FAE">
            <w:pPr>
              <w:pStyle w:val="BodyText"/>
              <w:rPr>
                <w:rFonts w:ascii="Arial" w:hAnsi="Arial" w:cs="Arial"/>
                <w:sz w:val="20"/>
                <w:szCs w:val="20"/>
                <w:lang w:val="en-GB"/>
              </w:rPr>
            </w:pPr>
            <w:r w:rsidRPr="000C1CD6">
              <w:rPr>
                <w:rFonts w:ascii="Arial" w:hAnsi="Arial" w:cs="Arial"/>
                <w:sz w:val="20"/>
                <w:szCs w:val="20"/>
                <w:lang w:val="en-GB"/>
              </w:rPr>
              <w:t>12 months to 2 years</w:t>
            </w:r>
          </w:p>
        </w:tc>
        <w:tc>
          <w:tcPr>
            <w:tcW w:w="1980" w:type="dxa"/>
          </w:tcPr>
          <w:p w14:paraId="0BE158AA"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0%</w:t>
            </w:r>
          </w:p>
        </w:tc>
        <w:tc>
          <w:tcPr>
            <w:tcW w:w="1800" w:type="dxa"/>
          </w:tcPr>
          <w:p w14:paraId="5F133591"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20%</w:t>
            </w:r>
          </w:p>
        </w:tc>
      </w:tr>
      <w:tr w:rsidR="002252C6" w14:paraId="1193C0FF" w14:textId="77777777" w:rsidTr="00A33FAE">
        <w:trPr>
          <w:cantSplit/>
        </w:trPr>
        <w:tc>
          <w:tcPr>
            <w:tcW w:w="4788" w:type="dxa"/>
          </w:tcPr>
          <w:p w14:paraId="7A144125" w14:textId="77777777" w:rsidR="00B66EDA" w:rsidRPr="000C1CD6" w:rsidRDefault="00A724BF" w:rsidP="00A33FAE">
            <w:pPr>
              <w:pStyle w:val="BodyText"/>
              <w:rPr>
                <w:rFonts w:ascii="Arial" w:hAnsi="Arial" w:cs="Arial"/>
                <w:sz w:val="20"/>
                <w:szCs w:val="20"/>
                <w:lang w:val="en-GB"/>
              </w:rPr>
            </w:pPr>
            <w:r w:rsidRPr="000C1CD6">
              <w:rPr>
                <w:rFonts w:ascii="Arial" w:hAnsi="Arial" w:cs="Arial"/>
                <w:sz w:val="20"/>
                <w:szCs w:val="20"/>
                <w:lang w:val="en-GB"/>
              </w:rPr>
              <w:t>2 years to 5 years</w:t>
            </w:r>
          </w:p>
        </w:tc>
        <w:tc>
          <w:tcPr>
            <w:tcW w:w="1980" w:type="dxa"/>
          </w:tcPr>
          <w:p w14:paraId="7614220C"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0%</w:t>
            </w:r>
          </w:p>
        </w:tc>
        <w:tc>
          <w:tcPr>
            <w:tcW w:w="1800" w:type="dxa"/>
          </w:tcPr>
          <w:p w14:paraId="7D6B1F11"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20%</w:t>
            </w:r>
          </w:p>
        </w:tc>
      </w:tr>
      <w:tr w:rsidR="002252C6" w14:paraId="31C12CFD" w14:textId="77777777" w:rsidTr="00A33FAE">
        <w:trPr>
          <w:cantSplit/>
        </w:trPr>
        <w:tc>
          <w:tcPr>
            <w:tcW w:w="4788" w:type="dxa"/>
          </w:tcPr>
          <w:p w14:paraId="6C5FA6D0" w14:textId="77777777" w:rsidR="00B66EDA" w:rsidRPr="000C1CD6" w:rsidRDefault="00A724BF" w:rsidP="00A33FAE">
            <w:pPr>
              <w:pStyle w:val="BodyText"/>
              <w:rPr>
                <w:rFonts w:ascii="Arial" w:hAnsi="Arial" w:cs="Arial"/>
                <w:sz w:val="20"/>
                <w:szCs w:val="20"/>
                <w:lang w:val="en-GB"/>
              </w:rPr>
            </w:pPr>
            <w:r w:rsidRPr="000C1CD6">
              <w:rPr>
                <w:rFonts w:ascii="Arial" w:hAnsi="Arial" w:cs="Arial"/>
                <w:sz w:val="20"/>
                <w:szCs w:val="20"/>
                <w:lang w:val="en-GB"/>
              </w:rPr>
              <w:t>5 years to 10 years</w:t>
            </w:r>
          </w:p>
        </w:tc>
        <w:tc>
          <w:tcPr>
            <w:tcW w:w="1980" w:type="dxa"/>
          </w:tcPr>
          <w:p w14:paraId="2C8F71E6"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0%</w:t>
            </w:r>
          </w:p>
        </w:tc>
        <w:tc>
          <w:tcPr>
            <w:tcW w:w="1800" w:type="dxa"/>
          </w:tcPr>
          <w:p w14:paraId="1611539B"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20%</w:t>
            </w:r>
          </w:p>
        </w:tc>
      </w:tr>
      <w:tr w:rsidR="002252C6" w14:paraId="20E2E1FC" w14:textId="77777777" w:rsidTr="00A33FAE">
        <w:trPr>
          <w:cantSplit/>
        </w:trPr>
        <w:tc>
          <w:tcPr>
            <w:tcW w:w="4788" w:type="dxa"/>
          </w:tcPr>
          <w:p w14:paraId="5AE7AAEB" w14:textId="77777777" w:rsidR="00B66EDA" w:rsidRPr="000C1CD6" w:rsidRDefault="00A724BF" w:rsidP="00A33FAE">
            <w:pPr>
              <w:pStyle w:val="BodyText"/>
              <w:rPr>
                <w:rFonts w:ascii="Arial" w:hAnsi="Arial" w:cs="Arial"/>
                <w:sz w:val="20"/>
                <w:szCs w:val="20"/>
                <w:lang w:val="en-GB"/>
              </w:rPr>
            </w:pPr>
            <w:r w:rsidRPr="000C1CD6">
              <w:rPr>
                <w:rFonts w:ascii="Arial" w:hAnsi="Arial" w:cs="Arial"/>
                <w:sz w:val="20"/>
                <w:szCs w:val="20"/>
                <w:lang w:val="en-GB"/>
              </w:rPr>
              <w:t xml:space="preserve">10 years to 20 years </w:t>
            </w:r>
          </w:p>
        </w:tc>
        <w:tc>
          <w:tcPr>
            <w:tcW w:w="1980" w:type="dxa"/>
          </w:tcPr>
          <w:p w14:paraId="0494DE61"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0%</w:t>
            </w:r>
          </w:p>
        </w:tc>
        <w:tc>
          <w:tcPr>
            <w:tcW w:w="1800" w:type="dxa"/>
          </w:tcPr>
          <w:p w14:paraId="5E23DD05"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20%</w:t>
            </w:r>
          </w:p>
        </w:tc>
      </w:tr>
      <w:tr w:rsidR="002252C6" w14:paraId="70195F88" w14:textId="77777777" w:rsidTr="00A33FAE">
        <w:trPr>
          <w:cantSplit/>
        </w:trPr>
        <w:tc>
          <w:tcPr>
            <w:tcW w:w="4788" w:type="dxa"/>
          </w:tcPr>
          <w:p w14:paraId="3B0439DE" w14:textId="77777777" w:rsidR="00B66EDA" w:rsidRPr="000C1CD6" w:rsidRDefault="00A724BF" w:rsidP="00A33FAE">
            <w:pPr>
              <w:pStyle w:val="BodyText"/>
              <w:rPr>
                <w:rFonts w:ascii="Arial" w:hAnsi="Arial" w:cs="Arial"/>
                <w:sz w:val="20"/>
                <w:szCs w:val="20"/>
                <w:lang w:val="en-GB"/>
              </w:rPr>
            </w:pPr>
            <w:r w:rsidRPr="000C1CD6">
              <w:rPr>
                <w:rFonts w:ascii="Arial" w:hAnsi="Arial" w:cs="Arial"/>
                <w:sz w:val="20"/>
                <w:szCs w:val="20"/>
                <w:lang w:val="en-GB"/>
              </w:rPr>
              <w:t xml:space="preserve">20 years to 30 years </w:t>
            </w:r>
          </w:p>
        </w:tc>
        <w:tc>
          <w:tcPr>
            <w:tcW w:w="1980" w:type="dxa"/>
          </w:tcPr>
          <w:p w14:paraId="2C2CD1C4"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0%</w:t>
            </w:r>
          </w:p>
        </w:tc>
        <w:tc>
          <w:tcPr>
            <w:tcW w:w="1800" w:type="dxa"/>
          </w:tcPr>
          <w:p w14:paraId="4E78170E"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20%</w:t>
            </w:r>
          </w:p>
        </w:tc>
      </w:tr>
      <w:tr w:rsidR="002252C6" w14:paraId="436365CA" w14:textId="77777777" w:rsidTr="00A33FAE">
        <w:trPr>
          <w:cantSplit/>
        </w:trPr>
        <w:tc>
          <w:tcPr>
            <w:tcW w:w="4788" w:type="dxa"/>
          </w:tcPr>
          <w:p w14:paraId="1872D061" w14:textId="77777777" w:rsidR="00B66EDA" w:rsidRPr="000C1CD6" w:rsidRDefault="00A724BF" w:rsidP="00A33FAE">
            <w:pPr>
              <w:pStyle w:val="BodyText"/>
              <w:rPr>
                <w:rFonts w:ascii="Arial" w:hAnsi="Arial" w:cs="Arial"/>
                <w:sz w:val="20"/>
                <w:szCs w:val="20"/>
                <w:lang w:val="en-GB"/>
              </w:rPr>
            </w:pPr>
            <w:r w:rsidRPr="000C1CD6">
              <w:rPr>
                <w:rFonts w:ascii="Arial" w:hAnsi="Arial" w:cs="Arial"/>
                <w:sz w:val="20"/>
                <w:szCs w:val="20"/>
                <w:lang w:val="en-GB"/>
              </w:rPr>
              <w:t xml:space="preserve">30 years to 40 years </w:t>
            </w:r>
          </w:p>
        </w:tc>
        <w:tc>
          <w:tcPr>
            <w:tcW w:w="1980" w:type="dxa"/>
          </w:tcPr>
          <w:p w14:paraId="07B0E957"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0%</w:t>
            </w:r>
          </w:p>
        </w:tc>
        <w:tc>
          <w:tcPr>
            <w:tcW w:w="1800" w:type="dxa"/>
          </w:tcPr>
          <w:p w14:paraId="28F468C0"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20%</w:t>
            </w:r>
          </w:p>
        </w:tc>
      </w:tr>
      <w:tr w:rsidR="002252C6" w14:paraId="6A75711E" w14:textId="77777777" w:rsidTr="00A33FAE">
        <w:trPr>
          <w:cantSplit/>
        </w:trPr>
        <w:tc>
          <w:tcPr>
            <w:tcW w:w="4788" w:type="dxa"/>
          </w:tcPr>
          <w:p w14:paraId="5744E0A1" w14:textId="77777777" w:rsidR="00B66EDA" w:rsidRPr="000C1CD6" w:rsidRDefault="00A724BF" w:rsidP="00A33FAE">
            <w:pPr>
              <w:pStyle w:val="BodyText"/>
              <w:rPr>
                <w:rFonts w:ascii="Arial" w:hAnsi="Arial" w:cs="Arial"/>
                <w:sz w:val="20"/>
                <w:szCs w:val="20"/>
                <w:lang w:val="en-GB"/>
              </w:rPr>
            </w:pPr>
            <w:r w:rsidRPr="000C1CD6">
              <w:rPr>
                <w:rFonts w:ascii="Arial" w:hAnsi="Arial" w:cs="Arial"/>
                <w:sz w:val="20"/>
                <w:szCs w:val="20"/>
                <w:lang w:val="en-GB"/>
              </w:rPr>
              <w:t xml:space="preserve">40 years to 50 years </w:t>
            </w:r>
          </w:p>
        </w:tc>
        <w:tc>
          <w:tcPr>
            <w:tcW w:w="1980" w:type="dxa"/>
          </w:tcPr>
          <w:p w14:paraId="086A700F"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0%</w:t>
            </w:r>
          </w:p>
        </w:tc>
        <w:tc>
          <w:tcPr>
            <w:tcW w:w="1800" w:type="dxa"/>
          </w:tcPr>
          <w:p w14:paraId="7659B4AE"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100%</w:t>
            </w:r>
          </w:p>
        </w:tc>
      </w:tr>
      <w:tr w:rsidR="002252C6" w14:paraId="2036B228" w14:textId="77777777" w:rsidTr="00A33FAE">
        <w:trPr>
          <w:cantSplit/>
        </w:trPr>
        <w:tc>
          <w:tcPr>
            <w:tcW w:w="8568" w:type="dxa"/>
            <w:gridSpan w:val="3"/>
            <w:shd w:val="clear" w:color="auto" w:fill="C0C0C0"/>
          </w:tcPr>
          <w:p w14:paraId="36817A1E" w14:textId="77777777" w:rsidR="00B66EDA" w:rsidRPr="000C1CD6" w:rsidRDefault="00A724BF" w:rsidP="000C1CD6">
            <w:pPr>
              <w:pStyle w:val="BodyText"/>
              <w:rPr>
                <w:rFonts w:ascii="Arial" w:hAnsi="Arial" w:cs="Arial"/>
                <w:b/>
                <w:bCs/>
                <w:sz w:val="20"/>
                <w:szCs w:val="20"/>
                <w:lang w:val="en-GB"/>
              </w:rPr>
            </w:pPr>
            <w:r w:rsidRPr="000C1CD6">
              <w:rPr>
                <w:rFonts w:ascii="Arial" w:hAnsi="Arial" w:cs="Arial"/>
                <w:b/>
                <w:bCs/>
                <w:sz w:val="20"/>
                <w:szCs w:val="20"/>
                <w:lang w:val="en-GB"/>
              </w:rPr>
              <w:t xml:space="preserve">Maturity structure of variable interest rate borrowing </w:t>
            </w:r>
            <w:r w:rsidR="00696A5D">
              <w:rPr>
                <w:rFonts w:ascii="Arial" w:hAnsi="Arial" w:cs="Arial"/>
                <w:b/>
                <w:bCs/>
                <w:sz w:val="20"/>
                <w:szCs w:val="20"/>
                <w:lang w:val="en-GB"/>
              </w:rPr>
              <w:t>2023/24</w:t>
            </w:r>
          </w:p>
        </w:tc>
      </w:tr>
      <w:tr w:rsidR="002252C6" w14:paraId="69FB0787" w14:textId="77777777" w:rsidTr="00A33FAE">
        <w:trPr>
          <w:cantSplit/>
        </w:trPr>
        <w:tc>
          <w:tcPr>
            <w:tcW w:w="4788" w:type="dxa"/>
          </w:tcPr>
          <w:p w14:paraId="6D5D7987" w14:textId="77777777" w:rsidR="00B66EDA" w:rsidRPr="000C1CD6" w:rsidRDefault="00B66EDA" w:rsidP="00A33FAE">
            <w:pPr>
              <w:pStyle w:val="BodyText"/>
              <w:rPr>
                <w:rFonts w:ascii="Arial" w:hAnsi="Arial" w:cs="Arial"/>
                <w:sz w:val="20"/>
                <w:szCs w:val="20"/>
                <w:lang w:val="en-GB"/>
              </w:rPr>
            </w:pPr>
          </w:p>
        </w:tc>
        <w:tc>
          <w:tcPr>
            <w:tcW w:w="1980" w:type="dxa"/>
          </w:tcPr>
          <w:p w14:paraId="360C1772"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Lower</w:t>
            </w:r>
          </w:p>
        </w:tc>
        <w:tc>
          <w:tcPr>
            <w:tcW w:w="1800" w:type="dxa"/>
          </w:tcPr>
          <w:p w14:paraId="08EC3D5E"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Upper</w:t>
            </w:r>
          </w:p>
        </w:tc>
      </w:tr>
      <w:tr w:rsidR="002252C6" w14:paraId="7B1D7B45" w14:textId="77777777" w:rsidTr="00A33FAE">
        <w:trPr>
          <w:cantSplit/>
          <w:trHeight w:val="331"/>
        </w:trPr>
        <w:tc>
          <w:tcPr>
            <w:tcW w:w="4788" w:type="dxa"/>
          </w:tcPr>
          <w:p w14:paraId="5E5CB1B7" w14:textId="77777777" w:rsidR="00B66EDA" w:rsidRPr="000C1CD6" w:rsidRDefault="00A724BF" w:rsidP="00A33FAE">
            <w:pPr>
              <w:pStyle w:val="BodyText"/>
              <w:rPr>
                <w:rFonts w:ascii="Arial" w:hAnsi="Arial" w:cs="Arial"/>
                <w:sz w:val="20"/>
                <w:szCs w:val="20"/>
                <w:lang w:val="en-GB"/>
              </w:rPr>
            </w:pPr>
            <w:r w:rsidRPr="000C1CD6">
              <w:rPr>
                <w:rFonts w:ascii="Arial" w:hAnsi="Arial" w:cs="Arial"/>
                <w:sz w:val="20"/>
                <w:szCs w:val="20"/>
                <w:lang w:val="en-GB"/>
              </w:rPr>
              <w:t>Under 12 months</w:t>
            </w:r>
          </w:p>
        </w:tc>
        <w:tc>
          <w:tcPr>
            <w:tcW w:w="1980" w:type="dxa"/>
          </w:tcPr>
          <w:p w14:paraId="251A93FF"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0%</w:t>
            </w:r>
          </w:p>
        </w:tc>
        <w:tc>
          <w:tcPr>
            <w:tcW w:w="1800" w:type="dxa"/>
          </w:tcPr>
          <w:p w14:paraId="07AC614D"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0%</w:t>
            </w:r>
          </w:p>
        </w:tc>
      </w:tr>
      <w:tr w:rsidR="002252C6" w14:paraId="06B9368A" w14:textId="77777777" w:rsidTr="00A33FAE">
        <w:trPr>
          <w:cantSplit/>
        </w:trPr>
        <w:tc>
          <w:tcPr>
            <w:tcW w:w="4788" w:type="dxa"/>
          </w:tcPr>
          <w:p w14:paraId="350EFE07" w14:textId="77777777" w:rsidR="00B66EDA" w:rsidRPr="000C1CD6" w:rsidRDefault="00A724BF" w:rsidP="00A33FAE">
            <w:pPr>
              <w:pStyle w:val="BodyText"/>
              <w:rPr>
                <w:rFonts w:ascii="Arial" w:hAnsi="Arial" w:cs="Arial"/>
                <w:sz w:val="20"/>
                <w:szCs w:val="20"/>
                <w:lang w:val="en-GB"/>
              </w:rPr>
            </w:pPr>
            <w:r w:rsidRPr="000C1CD6">
              <w:rPr>
                <w:rFonts w:ascii="Arial" w:hAnsi="Arial" w:cs="Arial"/>
                <w:sz w:val="20"/>
                <w:szCs w:val="20"/>
                <w:lang w:val="en-GB"/>
              </w:rPr>
              <w:t>12 months to 2 years</w:t>
            </w:r>
          </w:p>
        </w:tc>
        <w:tc>
          <w:tcPr>
            <w:tcW w:w="1980" w:type="dxa"/>
          </w:tcPr>
          <w:p w14:paraId="1B34250B"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0%</w:t>
            </w:r>
          </w:p>
        </w:tc>
        <w:tc>
          <w:tcPr>
            <w:tcW w:w="1800" w:type="dxa"/>
          </w:tcPr>
          <w:p w14:paraId="3A7DC9F3"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0%</w:t>
            </w:r>
          </w:p>
        </w:tc>
      </w:tr>
      <w:tr w:rsidR="002252C6" w14:paraId="40F36EAE" w14:textId="77777777" w:rsidTr="00A33FAE">
        <w:trPr>
          <w:cantSplit/>
        </w:trPr>
        <w:tc>
          <w:tcPr>
            <w:tcW w:w="4788" w:type="dxa"/>
          </w:tcPr>
          <w:p w14:paraId="0A6DF5A6" w14:textId="77777777" w:rsidR="00B66EDA" w:rsidRPr="000C1CD6" w:rsidRDefault="00A724BF" w:rsidP="00A33FAE">
            <w:pPr>
              <w:pStyle w:val="BodyText"/>
              <w:rPr>
                <w:rFonts w:ascii="Arial" w:hAnsi="Arial" w:cs="Arial"/>
                <w:sz w:val="20"/>
                <w:szCs w:val="20"/>
                <w:lang w:val="en-GB"/>
              </w:rPr>
            </w:pPr>
            <w:r w:rsidRPr="000C1CD6">
              <w:rPr>
                <w:rFonts w:ascii="Arial" w:hAnsi="Arial" w:cs="Arial"/>
                <w:sz w:val="20"/>
                <w:szCs w:val="20"/>
                <w:lang w:val="en-GB"/>
              </w:rPr>
              <w:t>2 years to 5 years</w:t>
            </w:r>
          </w:p>
        </w:tc>
        <w:tc>
          <w:tcPr>
            <w:tcW w:w="1980" w:type="dxa"/>
          </w:tcPr>
          <w:p w14:paraId="3775868B"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0%</w:t>
            </w:r>
          </w:p>
        </w:tc>
        <w:tc>
          <w:tcPr>
            <w:tcW w:w="1800" w:type="dxa"/>
          </w:tcPr>
          <w:p w14:paraId="32B766E7"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0%</w:t>
            </w:r>
          </w:p>
        </w:tc>
      </w:tr>
      <w:tr w:rsidR="002252C6" w14:paraId="71B2726D" w14:textId="77777777" w:rsidTr="00A33FAE">
        <w:trPr>
          <w:cantSplit/>
        </w:trPr>
        <w:tc>
          <w:tcPr>
            <w:tcW w:w="4788" w:type="dxa"/>
          </w:tcPr>
          <w:p w14:paraId="55E9DCFB" w14:textId="77777777" w:rsidR="00B66EDA" w:rsidRPr="000C1CD6" w:rsidRDefault="00A724BF" w:rsidP="00A33FAE">
            <w:pPr>
              <w:pStyle w:val="BodyText"/>
              <w:rPr>
                <w:rFonts w:ascii="Arial" w:hAnsi="Arial" w:cs="Arial"/>
                <w:sz w:val="20"/>
                <w:szCs w:val="20"/>
                <w:lang w:val="en-GB"/>
              </w:rPr>
            </w:pPr>
            <w:r w:rsidRPr="000C1CD6">
              <w:rPr>
                <w:rFonts w:ascii="Arial" w:hAnsi="Arial" w:cs="Arial"/>
                <w:sz w:val="20"/>
                <w:szCs w:val="20"/>
                <w:lang w:val="en-GB"/>
              </w:rPr>
              <w:t>5 years to 10 years</w:t>
            </w:r>
          </w:p>
        </w:tc>
        <w:tc>
          <w:tcPr>
            <w:tcW w:w="1980" w:type="dxa"/>
          </w:tcPr>
          <w:p w14:paraId="07CF65E0"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0%</w:t>
            </w:r>
          </w:p>
        </w:tc>
        <w:tc>
          <w:tcPr>
            <w:tcW w:w="1800" w:type="dxa"/>
          </w:tcPr>
          <w:p w14:paraId="3A83E9F0"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0%</w:t>
            </w:r>
          </w:p>
        </w:tc>
      </w:tr>
      <w:tr w:rsidR="002252C6" w14:paraId="4B47ED7B" w14:textId="77777777" w:rsidTr="00A33FAE">
        <w:trPr>
          <w:cantSplit/>
        </w:trPr>
        <w:tc>
          <w:tcPr>
            <w:tcW w:w="4788" w:type="dxa"/>
          </w:tcPr>
          <w:p w14:paraId="65DCC26C" w14:textId="77777777" w:rsidR="00B66EDA" w:rsidRPr="000C1CD6" w:rsidRDefault="00A724BF" w:rsidP="00A33FAE">
            <w:pPr>
              <w:pStyle w:val="BodyText"/>
              <w:rPr>
                <w:rFonts w:ascii="Arial" w:hAnsi="Arial" w:cs="Arial"/>
                <w:sz w:val="20"/>
                <w:szCs w:val="20"/>
                <w:lang w:val="en-GB"/>
              </w:rPr>
            </w:pPr>
            <w:r w:rsidRPr="000C1CD6">
              <w:rPr>
                <w:rFonts w:ascii="Arial" w:hAnsi="Arial" w:cs="Arial"/>
                <w:sz w:val="20"/>
                <w:szCs w:val="20"/>
                <w:lang w:val="en-GB"/>
              </w:rPr>
              <w:t xml:space="preserve">10 years to 20 years </w:t>
            </w:r>
          </w:p>
        </w:tc>
        <w:tc>
          <w:tcPr>
            <w:tcW w:w="1980" w:type="dxa"/>
          </w:tcPr>
          <w:p w14:paraId="611B88C4"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0%</w:t>
            </w:r>
          </w:p>
        </w:tc>
        <w:tc>
          <w:tcPr>
            <w:tcW w:w="1800" w:type="dxa"/>
          </w:tcPr>
          <w:p w14:paraId="785AB7BE"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0%</w:t>
            </w:r>
          </w:p>
        </w:tc>
      </w:tr>
      <w:tr w:rsidR="002252C6" w14:paraId="4C56A10B" w14:textId="77777777" w:rsidTr="00A33FAE">
        <w:trPr>
          <w:cantSplit/>
        </w:trPr>
        <w:tc>
          <w:tcPr>
            <w:tcW w:w="4788" w:type="dxa"/>
          </w:tcPr>
          <w:p w14:paraId="216E7275" w14:textId="77777777" w:rsidR="00B66EDA" w:rsidRPr="000C1CD6" w:rsidRDefault="00A724BF" w:rsidP="00A33FAE">
            <w:pPr>
              <w:pStyle w:val="BodyText"/>
              <w:rPr>
                <w:rFonts w:ascii="Arial" w:hAnsi="Arial" w:cs="Arial"/>
                <w:sz w:val="20"/>
                <w:szCs w:val="20"/>
                <w:lang w:val="en-GB"/>
              </w:rPr>
            </w:pPr>
            <w:r w:rsidRPr="000C1CD6">
              <w:rPr>
                <w:rFonts w:ascii="Arial" w:hAnsi="Arial" w:cs="Arial"/>
                <w:sz w:val="20"/>
                <w:szCs w:val="20"/>
                <w:lang w:val="en-GB"/>
              </w:rPr>
              <w:t xml:space="preserve">20 years to 30 years </w:t>
            </w:r>
          </w:p>
        </w:tc>
        <w:tc>
          <w:tcPr>
            <w:tcW w:w="1980" w:type="dxa"/>
          </w:tcPr>
          <w:p w14:paraId="2529C620"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0%</w:t>
            </w:r>
          </w:p>
        </w:tc>
        <w:tc>
          <w:tcPr>
            <w:tcW w:w="1800" w:type="dxa"/>
          </w:tcPr>
          <w:p w14:paraId="4EA28860"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0%</w:t>
            </w:r>
          </w:p>
        </w:tc>
      </w:tr>
      <w:tr w:rsidR="002252C6" w14:paraId="24ED3005" w14:textId="77777777" w:rsidTr="00A33FAE">
        <w:trPr>
          <w:cantSplit/>
        </w:trPr>
        <w:tc>
          <w:tcPr>
            <w:tcW w:w="4788" w:type="dxa"/>
          </w:tcPr>
          <w:p w14:paraId="326CF87E" w14:textId="77777777" w:rsidR="00B66EDA" w:rsidRPr="000C1CD6" w:rsidRDefault="00A724BF" w:rsidP="00A33FAE">
            <w:pPr>
              <w:pStyle w:val="BodyText"/>
              <w:rPr>
                <w:rFonts w:ascii="Arial" w:hAnsi="Arial" w:cs="Arial"/>
                <w:sz w:val="20"/>
                <w:szCs w:val="20"/>
                <w:lang w:val="en-GB"/>
              </w:rPr>
            </w:pPr>
            <w:r w:rsidRPr="000C1CD6">
              <w:rPr>
                <w:rFonts w:ascii="Arial" w:hAnsi="Arial" w:cs="Arial"/>
                <w:sz w:val="20"/>
                <w:szCs w:val="20"/>
                <w:lang w:val="en-GB"/>
              </w:rPr>
              <w:t xml:space="preserve">30 years to 40 years </w:t>
            </w:r>
          </w:p>
        </w:tc>
        <w:tc>
          <w:tcPr>
            <w:tcW w:w="1980" w:type="dxa"/>
          </w:tcPr>
          <w:p w14:paraId="1985B6EB"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0%</w:t>
            </w:r>
          </w:p>
        </w:tc>
        <w:tc>
          <w:tcPr>
            <w:tcW w:w="1800" w:type="dxa"/>
          </w:tcPr>
          <w:p w14:paraId="39C7113D"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0%</w:t>
            </w:r>
          </w:p>
        </w:tc>
      </w:tr>
      <w:tr w:rsidR="002252C6" w14:paraId="4E59C76C" w14:textId="77777777" w:rsidTr="00A33FAE">
        <w:trPr>
          <w:cantSplit/>
        </w:trPr>
        <w:tc>
          <w:tcPr>
            <w:tcW w:w="4788" w:type="dxa"/>
          </w:tcPr>
          <w:p w14:paraId="3A580802" w14:textId="77777777" w:rsidR="00B66EDA" w:rsidRPr="000C1CD6" w:rsidRDefault="00A724BF" w:rsidP="00A33FAE">
            <w:pPr>
              <w:pStyle w:val="BodyText"/>
              <w:rPr>
                <w:rFonts w:ascii="Arial" w:hAnsi="Arial" w:cs="Arial"/>
                <w:sz w:val="20"/>
                <w:szCs w:val="20"/>
                <w:lang w:val="en-GB"/>
              </w:rPr>
            </w:pPr>
            <w:r w:rsidRPr="000C1CD6">
              <w:rPr>
                <w:rFonts w:ascii="Arial" w:hAnsi="Arial" w:cs="Arial"/>
                <w:sz w:val="20"/>
                <w:szCs w:val="20"/>
                <w:lang w:val="en-GB"/>
              </w:rPr>
              <w:t xml:space="preserve">40 years to 50 years </w:t>
            </w:r>
          </w:p>
        </w:tc>
        <w:tc>
          <w:tcPr>
            <w:tcW w:w="1980" w:type="dxa"/>
          </w:tcPr>
          <w:p w14:paraId="5E38068C"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0%</w:t>
            </w:r>
          </w:p>
        </w:tc>
        <w:tc>
          <w:tcPr>
            <w:tcW w:w="1800" w:type="dxa"/>
          </w:tcPr>
          <w:p w14:paraId="26601030" w14:textId="77777777" w:rsidR="00B66EDA" w:rsidRPr="000C1CD6" w:rsidRDefault="00A724BF" w:rsidP="00A33FAE">
            <w:pPr>
              <w:pStyle w:val="BodyText"/>
              <w:jc w:val="center"/>
              <w:rPr>
                <w:rFonts w:ascii="Arial" w:hAnsi="Arial" w:cs="Arial"/>
                <w:sz w:val="20"/>
                <w:szCs w:val="20"/>
                <w:lang w:val="en-GB"/>
              </w:rPr>
            </w:pPr>
            <w:r w:rsidRPr="000C1CD6">
              <w:rPr>
                <w:rFonts w:ascii="Arial" w:hAnsi="Arial" w:cs="Arial"/>
                <w:sz w:val="20"/>
                <w:szCs w:val="20"/>
                <w:lang w:val="en-GB"/>
              </w:rPr>
              <w:t>0%</w:t>
            </w:r>
          </w:p>
        </w:tc>
      </w:tr>
    </w:tbl>
    <w:p w14:paraId="654446BC" w14:textId="77777777" w:rsidR="00F93A43" w:rsidRPr="00B66EDA" w:rsidRDefault="00F93A43" w:rsidP="00F93A43">
      <w:pPr>
        <w:pStyle w:val="BodyText"/>
        <w:spacing w:after="120"/>
        <w:rPr>
          <w:rFonts w:ascii="Arial" w:hAnsi="Arial" w:cs="Arial"/>
          <w:i/>
          <w:color w:val="0000FF"/>
          <w:sz w:val="20"/>
          <w:szCs w:val="20"/>
          <w:lang w:val="en-GB"/>
        </w:rPr>
      </w:pPr>
    </w:p>
    <w:p w14:paraId="075A8599" w14:textId="77777777" w:rsidR="00B66EDA" w:rsidRPr="00B66EDA" w:rsidRDefault="00B66EDA" w:rsidP="00F93A43">
      <w:pPr>
        <w:pStyle w:val="BodyText"/>
        <w:spacing w:after="120"/>
        <w:rPr>
          <w:rFonts w:ascii="Arial" w:hAnsi="Arial" w:cs="Arial"/>
          <w:sz w:val="20"/>
          <w:szCs w:val="20"/>
          <w:lang w:val="en-GB"/>
        </w:rPr>
      </w:pPr>
    </w:p>
    <w:p w14:paraId="36C3F641" w14:textId="77777777" w:rsidR="00F93A43" w:rsidRPr="00B66EDA" w:rsidRDefault="00A724BF" w:rsidP="00F93A43">
      <w:pPr>
        <w:pStyle w:val="BodyText"/>
        <w:spacing w:after="120"/>
        <w:rPr>
          <w:rFonts w:ascii="Arial" w:hAnsi="Arial" w:cs="Arial"/>
          <w:b/>
          <w:sz w:val="22"/>
          <w:szCs w:val="22"/>
          <w:lang w:val="en-GB"/>
        </w:rPr>
      </w:pPr>
      <w:r w:rsidRPr="00B66EDA">
        <w:rPr>
          <w:rFonts w:ascii="Arial" w:hAnsi="Arial" w:cs="Arial"/>
          <w:b/>
          <w:sz w:val="22"/>
          <w:szCs w:val="22"/>
          <w:lang w:val="en-GB"/>
        </w:rPr>
        <w:t>5.1.4. Control of interest rate exposure</w:t>
      </w:r>
    </w:p>
    <w:p w14:paraId="16CAF3E2" w14:textId="77777777" w:rsidR="00A33FAE" w:rsidRDefault="00A724BF" w:rsidP="00A33FAE">
      <w:pPr>
        <w:pStyle w:val="BodyText"/>
        <w:spacing w:after="120"/>
        <w:rPr>
          <w:rFonts w:ascii="Arial" w:hAnsi="Arial" w:cs="Arial"/>
          <w:sz w:val="20"/>
          <w:szCs w:val="20"/>
          <w:lang w:val="en-GB"/>
        </w:rPr>
      </w:pPr>
      <w:r w:rsidRPr="00B66EDA">
        <w:rPr>
          <w:rFonts w:ascii="Arial" w:hAnsi="Arial" w:cs="Arial"/>
          <w:sz w:val="20"/>
          <w:szCs w:val="20"/>
          <w:lang w:val="en-GB"/>
        </w:rPr>
        <w:t>Please see paragraphs 3.3, 3.4 and 4.4.</w:t>
      </w:r>
      <w:bookmarkStart w:id="181" w:name="_Toc338666414"/>
      <w:bookmarkStart w:id="182" w:name="_Toc338666568"/>
      <w:bookmarkStart w:id="183" w:name="_Toc338669424"/>
      <w:bookmarkEnd w:id="181"/>
      <w:bookmarkEnd w:id="182"/>
      <w:bookmarkEnd w:id="183"/>
    </w:p>
    <w:p w14:paraId="02FAD788" w14:textId="77777777" w:rsidR="00A044CB" w:rsidRDefault="00A044CB" w:rsidP="00A33FAE">
      <w:pPr>
        <w:pStyle w:val="BodyText"/>
        <w:spacing w:after="120"/>
        <w:rPr>
          <w:rFonts w:ascii="Arial" w:hAnsi="Arial" w:cs="Arial"/>
          <w:sz w:val="20"/>
          <w:szCs w:val="20"/>
          <w:lang w:val="en-GB"/>
        </w:rPr>
      </w:pPr>
    </w:p>
    <w:p w14:paraId="6C2B393F" w14:textId="77777777" w:rsidR="00A044CB" w:rsidRPr="00E8233C" w:rsidRDefault="00A724BF" w:rsidP="00A044CB">
      <w:pPr>
        <w:pStyle w:val="BodyText"/>
        <w:spacing w:after="120"/>
        <w:rPr>
          <w:rFonts w:ascii="Arial" w:hAnsi="Arial" w:cs="Arial"/>
          <w:b/>
          <w:sz w:val="22"/>
          <w:szCs w:val="22"/>
          <w:lang w:val="en-GB"/>
        </w:rPr>
      </w:pPr>
      <w:bookmarkStart w:id="184" w:name="_Toc83300470"/>
      <w:r w:rsidRPr="00E8233C">
        <w:rPr>
          <w:rFonts w:ascii="Arial" w:hAnsi="Arial" w:cs="Arial"/>
          <w:b/>
          <w:sz w:val="22"/>
          <w:szCs w:val="22"/>
          <w:lang w:val="en-GB"/>
        </w:rPr>
        <w:t>5.2</w:t>
      </w:r>
      <w:r w:rsidRPr="00E8233C">
        <w:rPr>
          <w:rFonts w:ascii="Arial" w:hAnsi="Arial" w:cs="Arial"/>
          <w:b/>
          <w:sz w:val="22"/>
          <w:szCs w:val="22"/>
          <w:lang w:val="en-GB"/>
        </w:rPr>
        <w:tab/>
        <w:t xml:space="preserve">INTEREST RATE FORECASTS </w:t>
      </w:r>
      <w:bookmarkEnd w:id="184"/>
      <w:r w:rsidR="002C47B4">
        <w:rPr>
          <w:rFonts w:ascii="Arial" w:hAnsi="Arial" w:cs="Arial"/>
          <w:b/>
          <w:sz w:val="22"/>
          <w:szCs w:val="22"/>
          <w:lang w:val="en-GB"/>
        </w:rPr>
        <w:t>2022-2025</w:t>
      </w:r>
    </w:p>
    <w:p w14:paraId="5140129C" w14:textId="77777777" w:rsidR="00A044CB" w:rsidRPr="0075667C" w:rsidRDefault="00A724BF" w:rsidP="00A044CB">
      <w:pPr>
        <w:pStyle w:val="BodyText"/>
        <w:spacing w:after="120"/>
        <w:rPr>
          <w:rFonts w:ascii="Arial" w:eastAsia="Calibri" w:hAnsi="Arial" w:cs="Arial"/>
          <w:noProof/>
          <w:sz w:val="20"/>
          <w:szCs w:val="20"/>
          <w:lang w:val="en-AU"/>
        </w:rPr>
      </w:pPr>
      <w:r w:rsidRPr="0075667C">
        <w:rPr>
          <w:rFonts w:ascii="Arial" w:eastAsia="Calibri" w:hAnsi="Arial" w:cs="Arial"/>
          <w:noProof/>
          <w:sz w:val="20"/>
          <w:szCs w:val="20"/>
          <w:lang w:val="en-AU"/>
        </w:rPr>
        <w:t>Please see paragraph 3.3.</w:t>
      </w:r>
    </w:p>
    <w:p w14:paraId="2216CAA8" w14:textId="77777777" w:rsidR="00E8233C" w:rsidRPr="00756E03" w:rsidRDefault="00E8233C" w:rsidP="00A044CB">
      <w:pPr>
        <w:pStyle w:val="BodyText"/>
        <w:spacing w:after="120"/>
        <w:rPr>
          <w:rFonts w:ascii="Arial" w:hAnsi="Arial" w:cs="Arial"/>
          <w:sz w:val="20"/>
          <w:szCs w:val="20"/>
          <w:lang w:val="en-GB"/>
        </w:rPr>
      </w:pPr>
    </w:p>
    <w:p w14:paraId="5F695CA8" w14:textId="77777777" w:rsidR="00A044CB" w:rsidRPr="00A044CB" w:rsidRDefault="00A724BF" w:rsidP="00A044CB">
      <w:pPr>
        <w:pStyle w:val="BodyText"/>
        <w:spacing w:after="120"/>
        <w:rPr>
          <w:rFonts w:ascii="Arial" w:hAnsi="Arial" w:cs="Arial"/>
          <w:b/>
          <w:sz w:val="22"/>
          <w:szCs w:val="22"/>
        </w:rPr>
      </w:pPr>
      <w:bookmarkStart w:id="185" w:name="_Toc83300473"/>
      <w:r w:rsidRPr="00A044CB">
        <w:rPr>
          <w:rFonts w:ascii="Arial" w:hAnsi="Arial" w:cs="Arial"/>
          <w:b/>
          <w:sz w:val="22"/>
          <w:szCs w:val="22"/>
        </w:rPr>
        <w:t>5.3 ECONOMIC BACKGROUND</w:t>
      </w:r>
      <w:bookmarkEnd w:id="185"/>
    </w:p>
    <w:p w14:paraId="681479C3" w14:textId="77777777" w:rsidR="002C47B4" w:rsidRPr="002C47B4" w:rsidRDefault="00A724BF" w:rsidP="002C47B4">
      <w:pPr>
        <w:pStyle w:val="BulletTypeA"/>
        <w:numPr>
          <w:ilvl w:val="0"/>
          <w:numId w:val="0"/>
        </w:numPr>
        <w:rPr>
          <w:rFonts w:ascii="Arial" w:hAnsi="Arial" w:cs="Arial"/>
        </w:rPr>
      </w:pPr>
      <w:r w:rsidRPr="002C47B4">
        <w:rPr>
          <w:rFonts w:ascii="Arial" w:hAnsi="Arial" w:cs="Arial"/>
        </w:rPr>
        <w:t>Against a backdrop of stubborn inflationary pressures, the easing of Covid restrictions in most developed economies, the Russian invasion of Ukraine, and a range of different UK Government policies, it is no surprise that UK interest rates have been volatile right across the curve, from Bank Rate through to 50-year gilt yields, for all of 2022.</w:t>
      </w:r>
    </w:p>
    <w:p w14:paraId="74901AC8" w14:textId="77777777" w:rsidR="002C47B4" w:rsidRPr="002C47B4" w:rsidRDefault="00A724BF" w:rsidP="002C47B4">
      <w:pPr>
        <w:pStyle w:val="BulletTypeA"/>
        <w:numPr>
          <w:ilvl w:val="0"/>
          <w:numId w:val="0"/>
        </w:numPr>
        <w:rPr>
          <w:rFonts w:ascii="Arial" w:hAnsi="Arial" w:cs="Arial"/>
        </w:rPr>
      </w:pPr>
      <w:r w:rsidRPr="002C47B4">
        <w:rPr>
          <w:rFonts w:ascii="Arial" w:hAnsi="Arial" w:cs="Arial"/>
        </w:rPr>
        <w:t xml:space="preserve">Market commentators’ misplaced optimism around inflation has been the root cause of the rout in the bond markets with, for example, UK, EZ and US 10-year yields all rising by over 200bps since the turn of the year.  The table below provides a snapshot of the conundrum facing central banks: inflation is elevated but labour markets are extra-ordinarily tight, making it an issue of fine judgment as to how far monetary policy needs to tighten.  </w:t>
      </w:r>
    </w:p>
    <w:p w14:paraId="57606EE7" w14:textId="77777777" w:rsidR="002C47B4" w:rsidRPr="002C47B4" w:rsidRDefault="002C47B4" w:rsidP="002C47B4">
      <w:pPr>
        <w:pStyle w:val="BulletTypeA"/>
        <w:numPr>
          <w:ilvl w:val="0"/>
          <w:numId w:val="0"/>
        </w:numPr>
        <w:rPr>
          <w:rFonts w:ascii="Arial" w:hAnsi="Arial" w:cs="Arial"/>
        </w:rPr>
      </w:pPr>
    </w:p>
    <w:tbl>
      <w:tblPr>
        <w:tblStyle w:val="TableGrid"/>
        <w:tblW w:w="0" w:type="auto"/>
        <w:tblLook w:val="04A0" w:firstRow="1" w:lastRow="0" w:firstColumn="1" w:lastColumn="0" w:noHBand="0" w:noVBand="1"/>
      </w:tblPr>
      <w:tblGrid>
        <w:gridCol w:w="2150"/>
        <w:gridCol w:w="2037"/>
        <w:gridCol w:w="2050"/>
        <w:gridCol w:w="2065"/>
      </w:tblGrid>
      <w:tr w:rsidR="002252C6" w14:paraId="59D366FE" w14:textId="77777777" w:rsidTr="00161A81">
        <w:tc>
          <w:tcPr>
            <w:tcW w:w="2265" w:type="dxa"/>
          </w:tcPr>
          <w:p w14:paraId="298B84B0" w14:textId="77777777" w:rsidR="002C47B4" w:rsidRPr="002C47B4" w:rsidRDefault="002C47B4" w:rsidP="00161A81">
            <w:pPr>
              <w:pStyle w:val="BulletTypeA"/>
              <w:numPr>
                <w:ilvl w:val="0"/>
                <w:numId w:val="0"/>
              </w:numPr>
              <w:jc w:val="center"/>
              <w:rPr>
                <w:rFonts w:ascii="Arial" w:hAnsi="Arial" w:cs="Arial"/>
              </w:rPr>
            </w:pPr>
          </w:p>
        </w:tc>
        <w:tc>
          <w:tcPr>
            <w:tcW w:w="2265" w:type="dxa"/>
          </w:tcPr>
          <w:p w14:paraId="686E1593" w14:textId="77777777" w:rsidR="002C47B4" w:rsidRPr="002C47B4" w:rsidRDefault="00A724BF" w:rsidP="00161A81">
            <w:pPr>
              <w:pStyle w:val="BulletTypeA"/>
              <w:numPr>
                <w:ilvl w:val="0"/>
                <w:numId w:val="0"/>
              </w:numPr>
              <w:jc w:val="center"/>
              <w:rPr>
                <w:rFonts w:ascii="Arial" w:hAnsi="Arial" w:cs="Arial"/>
                <w:b/>
                <w:bCs/>
              </w:rPr>
            </w:pPr>
            <w:r w:rsidRPr="002C47B4">
              <w:rPr>
                <w:rFonts w:ascii="Arial" w:hAnsi="Arial" w:cs="Arial"/>
                <w:b/>
                <w:bCs/>
              </w:rPr>
              <w:t>UK</w:t>
            </w:r>
          </w:p>
        </w:tc>
        <w:tc>
          <w:tcPr>
            <w:tcW w:w="2266" w:type="dxa"/>
          </w:tcPr>
          <w:p w14:paraId="623E86BC" w14:textId="77777777" w:rsidR="002C47B4" w:rsidRPr="002C47B4" w:rsidRDefault="00A724BF" w:rsidP="00161A81">
            <w:pPr>
              <w:pStyle w:val="BulletTypeA"/>
              <w:numPr>
                <w:ilvl w:val="0"/>
                <w:numId w:val="0"/>
              </w:numPr>
              <w:jc w:val="center"/>
              <w:rPr>
                <w:rFonts w:ascii="Arial" w:hAnsi="Arial" w:cs="Arial"/>
                <w:b/>
                <w:bCs/>
              </w:rPr>
            </w:pPr>
            <w:r w:rsidRPr="002C47B4">
              <w:rPr>
                <w:rFonts w:ascii="Arial" w:hAnsi="Arial" w:cs="Arial"/>
                <w:b/>
                <w:bCs/>
              </w:rPr>
              <w:t>Eurozone</w:t>
            </w:r>
          </w:p>
        </w:tc>
        <w:tc>
          <w:tcPr>
            <w:tcW w:w="2266" w:type="dxa"/>
          </w:tcPr>
          <w:p w14:paraId="13C3CE70" w14:textId="77777777" w:rsidR="002C47B4" w:rsidRPr="002C47B4" w:rsidRDefault="00A724BF" w:rsidP="00161A81">
            <w:pPr>
              <w:pStyle w:val="BulletTypeA"/>
              <w:numPr>
                <w:ilvl w:val="0"/>
                <w:numId w:val="0"/>
              </w:numPr>
              <w:jc w:val="center"/>
              <w:rPr>
                <w:rFonts w:ascii="Arial" w:hAnsi="Arial" w:cs="Arial"/>
                <w:b/>
                <w:bCs/>
              </w:rPr>
            </w:pPr>
            <w:r w:rsidRPr="002C47B4">
              <w:rPr>
                <w:rFonts w:ascii="Arial" w:hAnsi="Arial" w:cs="Arial"/>
                <w:b/>
                <w:bCs/>
              </w:rPr>
              <w:t>US</w:t>
            </w:r>
          </w:p>
        </w:tc>
      </w:tr>
      <w:tr w:rsidR="002252C6" w14:paraId="57EE85F4" w14:textId="77777777" w:rsidTr="00161A81">
        <w:tc>
          <w:tcPr>
            <w:tcW w:w="2265" w:type="dxa"/>
          </w:tcPr>
          <w:p w14:paraId="1E2302FB" w14:textId="77777777" w:rsidR="002C47B4" w:rsidRPr="002C47B4" w:rsidRDefault="00A724BF" w:rsidP="00161A81">
            <w:pPr>
              <w:pStyle w:val="BulletTypeA"/>
              <w:numPr>
                <w:ilvl w:val="0"/>
                <w:numId w:val="0"/>
              </w:numPr>
              <w:jc w:val="center"/>
              <w:rPr>
                <w:rFonts w:ascii="Arial" w:hAnsi="Arial" w:cs="Arial"/>
                <w:b/>
                <w:bCs/>
              </w:rPr>
            </w:pPr>
            <w:r w:rsidRPr="002C47B4">
              <w:rPr>
                <w:rFonts w:ascii="Arial" w:hAnsi="Arial" w:cs="Arial"/>
                <w:b/>
                <w:bCs/>
              </w:rPr>
              <w:t>Bank Rate</w:t>
            </w:r>
          </w:p>
        </w:tc>
        <w:tc>
          <w:tcPr>
            <w:tcW w:w="2265" w:type="dxa"/>
          </w:tcPr>
          <w:p w14:paraId="40360F74" w14:textId="77777777" w:rsidR="002C47B4" w:rsidRPr="002C47B4" w:rsidRDefault="00A724BF" w:rsidP="00161A81">
            <w:pPr>
              <w:pStyle w:val="BulletTypeA"/>
              <w:numPr>
                <w:ilvl w:val="0"/>
                <w:numId w:val="0"/>
              </w:numPr>
              <w:jc w:val="center"/>
              <w:rPr>
                <w:rFonts w:ascii="Arial" w:hAnsi="Arial" w:cs="Arial"/>
              </w:rPr>
            </w:pPr>
            <w:r w:rsidRPr="002C47B4">
              <w:rPr>
                <w:rFonts w:ascii="Arial" w:hAnsi="Arial" w:cs="Arial"/>
              </w:rPr>
              <w:t>3.0%</w:t>
            </w:r>
          </w:p>
        </w:tc>
        <w:tc>
          <w:tcPr>
            <w:tcW w:w="2266" w:type="dxa"/>
          </w:tcPr>
          <w:p w14:paraId="74FBBEC9" w14:textId="77777777" w:rsidR="002C47B4" w:rsidRPr="002C47B4" w:rsidRDefault="00A724BF" w:rsidP="00161A81">
            <w:pPr>
              <w:pStyle w:val="BulletTypeA"/>
              <w:numPr>
                <w:ilvl w:val="0"/>
                <w:numId w:val="0"/>
              </w:numPr>
              <w:jc w:val="center"/>
              <w:rPr>
                <w:rFonts w:ascii="Arial" w:hAnsi="Arial" w:cs="Arial"/>
              </w:rPr>
            </w:pPr>
            <w:r w:rsidRPr="002C47B4">
              <w:rPr>
                <w:rFonts w:ascii="Arial" w:hAnsi="Arial" w:cs="Arial"/>
              </w:rPr>
              <w:t>1.5%</w:t>
            </w:r>
          </w:p>
        </w:tc>
        <w:tc>
          <w:tcPr>
            <w:tcW w:w="2266" w:type="dxa"/>
          </w:tcPr>
          <w:p w14:paraId="78D32991" w14:textId="77777777" w:rsidR="002C47B4" w:rsidRPr="002C47B4" w:rsidRDefault="00A724BF" w:rsidP="00161A81">
            <w:pPr>
              <w:pStyle w:val="BulletTypeA"/>
              <w:numPr>
                <w:ilvl w:val="0"/>
                <w:numId w:val="0"/>
              </w:numPr>
              <w:jc w:val="center"/>
              <w:rPr>
                <w:rFonts w:ascii="Arial" w:hAnsi="Arial" w:cs="Arial"/>
              </w:rPr>
            </w:pPr>
            <w:r w:rsidRPr="002C47B4">
              <w:rPr>
                <w:rFonts w:ascii="Arial" w:hAnsi="Arial" w:cs="Arial"/>
              </w:rPr>
              <w:t>3.75%-4.00%</w:t>
            </w:r>
          </w:p>
        </w:tc>
      </w:tr>
      <w:tr w:rsidR="002252C6" w14:paraId="7B079E0B" w14:textId="77777777" w:rsidTr="00161A81">
        <w:tc>
          <w:tcPr>
            <w:tcW w:w="2265" w:type="dxa"/>
          </w:tcPr>
          <w:p w14:paraId="7495B93B" w14:textId="77777777" w:rsidR="002C47B4" w:rsidRPr="002C47B4" w:rsidRDefault="00A724BF" w:rsidP="00161A81">
            <w:pPr>
              <w:pStyle w:val="BulletTypeA"/>
              <w:numPr>
                <w:ilvl w:val="0"/>
                <w:numId w:val="0"/>
              </w:numPr>
              <w:jc w:val="center"/>
              <w:rPr>
                <w:rFonts w:ascii="Arial" w:hAnsi="Arial" w:cs="Arial"/>
                <w:b/>
                <w:bCs/>
              </w:rPr>
            </w:pPr>
            <w:r w:rsidRPr="002C47B4">
              <w:rPr>
                <w:rFonts w:ascii="Arial" w:hAnsi="Arial" w:cs="Arial"/>
                <w:b/>
                <w:bCs/>
              </w:rPr>
              <w:t>GDP</w:t>
            </w:r>
          </w:p>
        </w:tc>
        <w:tc>
          <w:tcPr>
            <w:tcW w:w="2265" w:type="dxa"/>
          </w:tcPr>
          <w:p w14:paraId="2EEFF33D" w14:textId="77777777" w:rsidR="002C47B4" w:rsidRPr="002C47B4" w:rsidRDefault="00A724BF" w:rsidP="00161A81">
            <w:pPr>
              <w:pStyle w:val="BulletTypeA"/>
              <w:numPr>
                <w:ilvl w:val="0"/>
                <w:numId w:val="0"/>
              </w:numPr>
              <w:jc w:val="center"/>
              <w:rPr>
                <w:rFonts w:ascii="Arial" w:hAnsi="Arial" w:cs="Arial"/>
              </w:rPr>
            </w:pPr>
            <w:r w:rsidRPr="002C47B4">
              <w:rPr>
                <w:rFonts w:ascii="Arial" w:hAnsi="Arial" w:cs="Arial"/>
              </w:rPr>
              <w:t>-0.2%q/q Q3 (2.4%y/y)</w:t>
            </w:r>
          </w:p>
        </w:tc>
        <w:tc>
          <w:tcPr>
            <w:tcW w:w="2266" w:type="dxa"/>
          </w:tcPr>
          <w:p w14:paraId="465326BA" w14:textId="77777777" w:rsidR="002C47B4" w:rsidRPr="002C47B4" w:rsidRDefault="00A724BF" w:rsidP="00161A81">
            <w:pPr>
              <w:pStyle w:val="BulletTypeA"/>
              <w:numPr>
                <w:ilvl w:val="0"/>
                <w:numId w:val="0"/>
              </w:numPr>
              <w:jc w:val="center"/>
              <w:rPr>
                <w:rFonts w:ascii="Arial" w:hAnsi="Arial" w:cs="Arial"/>
              </w:rPr>
            </w:pPr>
            <w:r w:rsidRPr="002C47B4">
              <w:rPr>
                <w:rFonts w:ascii="Arial" w:hAnsi="Arial" w:cs="Arial"/>
              </w:rPr>
              <w:t>+0.2%q/q Q3 (2.1%y/y)</w:t>
            </w:r>
          </w:p>
        </w:tc>
        <w:tc>
          <w:tcPr>
            <w:tcW w:w="2266" w:type="dxa"/>
          </w:tcPr>
          <w:p w14:paraId="7F0196EA" w14:textId="77777777" w:rsidR="002C47B4" w:rsidRPr="002C47B4" w:rsidRDefault="00A724BF" w:rsidP="00161A81">
            <w:pPr>
              <w:pStyle w:val="BulletTypeA"/>
              <w:numPr>
                <w:ilvl w:val="0"/>
                <w:numId w:val="0"/>
              </w:numPr>
              <w:jc w:val="center"/>
              <w:rPr>
                <w:rFonts w:ascii="Arial" w:hAnsi="Arial" w:cs="Arial"/>
              </w:rPr>
            </w:pPr>
            <w:r w:rsidRPr="002C47B4">
              <w:rPr>
                <w:rFonts w:ascii="Arial" w:hAnsi="Arial" w:cs="Arial"/>
              </w:rPr>
              <w:t>2.6% Q3 Annualised</w:t>
            </w:r>
          </w:p>
        </w:tc>
      </w:tr>
      <w:tr w:rsidR="002252C6" w14:paraId="548682EF" w14:textId="77777777" w:rsidTr="00161A81">
        <w:tc>
          <w:tcPr>
            <w:tcW w:w="2265" w:type="dxa"/>
          </w:tcPr>
          <w:p w14:paraId="6E4702C1" w14:textId="77777777" w:rsidR="002C47B4" w:rsidRPr="002C47B4" w:rsidRDefault="00A724BF" w:rsidP="00161A81">
            <w:pPr>
              <w:pStyle w:val="BulletTypeA"/>
              <w:numPr>
                <w:ilvl w:val="0"/>
                <w:numId w:val="0"/>
              </w:numPr>
              <w:jc w:val="center"/>
              <w:rPr>
                <w:rFonts w:ascii="Arial" w:hAnsi="Arial" w:cs="Arial"/>
                <w:b/>
                <w:bCs/>
              </w:rPr>
            </w:pPr>
            <w:r w:rsidRPr="002C47B4">
              <w:rPr>
                <w:rFonts w:ascii="Arial" w:hAnsi="Arial" w:cs="Arial"/>
                <w:b/>
                <w:bCs/>
              </w:rPr>
              <w:t>Inflation</w:t>
            </w:r>
          </w:p>
        </w:tc>
        <w:tc>
          <w:tcPr>
            <w:tcW w:w="2265" w:type="dxa"/>
          </w:tcPr>
          <w:p w14:paraId="3541A292" w14:textId="77777777" w:rsidR="002C47B4" w:rsidRPr="002C47B4" w:rsidRDefault="00A724BF" w:rsidP="00161A81">
            <w:pPr>
              <w:pStyle w:val="BulletTypeA"/>
              <w:numPr>
                <w:ilvl w:val="0"/>
                <w:numId w:val="0"/>
              </w:numPr>
              <w:jc w:val="center"/>
              <w:rPr>
                <w:rFonts w:ascii="Arial" w:hAnsi="Arial" w:cs="Arial"/>
              </w:rPr>
            </w:pPr>
            <w:r w:rsidRPr="002C47B4">
              <w:rPr>
                <w:rFonts w:ascii="Arial" w:hAnsi="Arial" w:cs="Arial"/>
              </w:rPr>
              <w:t>11.1%y/y (Oct)</w:t>
            </w:r>
          </w:p>
        </w:tc>
        <w:tc>
          <w:tcPr>
            <w:tcW w:w="2266" w:type="dxa"/>
          </w:tcPr>
          <w:p w14:paraId="320689A4" w14:textId="77777777" w:rsidR="002C47B4" w:rsidRPr="002C47B4" w:rsidRDefault="00A724BF" w:rsidP="00161A81">
            <w:pPr>
              <w:pStyle w:val="BulletTypeA"/>
              <w:numPr>
                <w:ilvl w:val="0"/>
                <w:numId w:val="0"/>
              </w:numPr>
              <w:jc w:val="center"/>
              <w:rPr>
                <w:rFonts w:ascii="Arial" w:hAnsi="Arial" w:cs="Arial"/>
              </w:rPr>
            </w:pPr>
            <w:r w:rsidRPr="002C47B4">
              <w:rPr>
                <w:rFonts w:ascii="Arial" w:hAnsi="Arial" w:cs="Arial"/>
              </w:rPr>
              <w:t>10.0%y/y (Nov)</w:t>
            </w:r>
          </w:p>
        </w:tc>
        <w:tc>
          <w:tcPr>
            <w:tcW w:w="2266" w:type="dxa"/>
          </w:tcPr>
          <w:p w14:paraId="3FDB20CF" w14:textId="77777777" w:rsidR="002C47B4" w:rsidRPr="002C47B4" w:rsidRDefault="00A724BF" w:rsidP="00161A81">
            <w:pPr>
              <w:pStyle w:val="BulletTypeA"/>
              <w:numPr>
                <w:ilvl w:val="0"/>
                <w:numId w:val="0"/>
              </w:numPr>
              <w:jc w:val="center"/>
              <w:rPr>
                <w:rFonts w:ascii="Arial" w:hAnsi="Arial" w:cs="Arial"/>
              </w:rPr>
            </w:pPr>
            <w:r w:rsidRPr="002C47B4">
              <w:rPr>
                <w:rFonts w:ascii="Arial" w:hAnsi="Arial" w:cs="Arial"/>
              </w:rPr>
              <w:t>7.7%y/y (Oct)</w:t>
            </w:r>
          </w:p>
        </w:tc>
      </w:tr>
      <w:tr w:rsidR="002252C6" w14:paraId="7ABC8065" w14:textId="77777777" w:rsidTr="00161A81">
        <w:tc>
          <w:tcPr>
            <w:tcW w:w="2265" w:type="dxa"/>
          </w:tcPr>
          <w:p w14:paraId="4759ED94" w14:textId="77777777" w:rsidR="002C47B4" w:rsidRPr="002C47B4" w:rsidRDefault="00A724BF" w:rsidP="00161A81">
            <w:pPr>
              <w:pStyle w:val="BulletTypeA"/>
              <w:numPr>
                <w:ilvl w:val="0"/>
                <w:numId w:val="0"/>
              </w:numPr>
              <w:jc w:val="center"/>
              <w:rPr>
                <w:rFonts w:ascii="Arial" w:hAnsi="Arial" w:cs="Arial"/>
                <w:b/>
                <w:bCs/>
              </w:rPr>
            </w:pPr>
            <w:r w:rsidRPr="002C47B4">
              <w:rPr>
                <w:rFonts w:ascii="Arial" w:hAnsi="Arial" w:cs="Arial"/>
                <w:b/>
                <w:bCs/>
              </w:rPr>
              <w:t>Unemployment Rate</w:t>
            </w:r>
          </w:p>
        </w:tc>
        <w:tc>
          <w:tcPr>
            <w:tcW w:w="2265" w:type="dxa"/>
          </w:tcPr>
          <w:p w14:paraId="5FFC300A" w14:textId="77777777" w:rsidR="002C47B4" w:rsidRPr="002C47B4" w:rsidRDefault="00A724BF" w:rsidP="00161A81">
            <w:pPr>
              <w:pStyle w:val="BulletTypeA"/>
              <w:numPr>
                <w:ilvl w:val="0"/>
                <w:numId w:val="0"/>
              </w:numPr>
              <w:jc w:val="center"/>
              <w:rPr>
                <w:rFonts w:ascii="Arial" w:hAnsi="Arial" w:cs="Arial"/>
              </w:rPr>
            </w:pPr>
            <w:r w:rsidRPr="002C47B4">
              <w:rPr>
                <w:rFonts w:ascii="Arial" w:hAnsi="Arial" w:cs="Arial"/>
              </w:rPr>
              <w:t>3.6% (Sep)</w:t>
            </w:r>
          </w:p>
        </w:tc>
        <w:tc>
          <w:tcPr>
            <w:tcW w:w="2266" w:type="dxa"/>
          </w:tcPr>
          <w:p w14:paraId="68CBD156" w14:textId="77777777" w:rsidR="002C47B4" w:rsidRPr="002C47B4" w:rsidRDefault="00A724BF" w:rsidP="00161A81">
            <w:pPr>
              <w:pStyle w:val="BulletTypeA"/>
              <w:numPr>
                <w:ilvl w:val="0"/>
                <w:numId w:val="0"/>
              </w:numPr>
              <w:jc w:val="center"/>
              <w:rPr>
                <w:rFonts w:ascii="Arial" w:hAnsi="Arial" w:cs="Arial"/>
              </w:rPr>
            </w:pPr>
            <w:r w:rsidRPr="002C47B4">
              <w:rPr>
                <w:rFonts w:ascii="Arial" w:hAnsi="Arial" w:cs="Arial"/>
              </w:rPr>
              <w:t>6.6% (Sep)</w:t>
            </w:r>
          </w:p>
        </w:tc>
        <w:tc>
          <w:tcPr>
            <w:tcW w:w="2266" w:type="dxa"/>
          </w:tcPr>
          <w:p w14:paraId="6E2ACB0C" w14:textId="77777777" w:rsidR="002C47B4" w:rsidRPr="002C47B4" w:rsidRDefault="00A724BF" w:rsidP="00161A81">
            <w:pPr>
              <w:pStyle w:val="BulletTypeA"/>
              <w:numPr>
                <w:ilvl w:val="0"/>
                <w:numId w:val="0"/>
              </w:numPr>
              <w:jc w:val="center"/>
              <w:rPr>
                <w:rFonts w:ascii="Arial" w:hAnsi="Arial" w:cs="Arial"/>
              </w:rPr>
            </w:pPr>
            <w:r w:rsidRPr="002C47B4">
              <w:rPr>
                <w:rFonts w:ascii="Arial" w:hAnsi="Arial" w:cs="Arial"/>
              </w:rPr>
              <w:t>3.7% (Aug)</w:t>
            </w:r>
          </w:p>
        </w:tc>
      </w:tr>
    </w:tbl>
    <w:p w14:paraId="2C969868" w14:textId="77777777" w:rsidR="00A044CB" w:rsidRPr="002C47B4" w:rsidRDefault="00A044CB" w:rsidP="002C47B4">
      <w:pPr>
        <w:pStyle w:val="BodyText"/>
        <w:spacing w:after="120"/>
        <w:rPr>
          <w:rFonts w:ascii="Arial" w:hAnsi="Arial" w:cs="Arial"/>
          <w:bCs/>
          <w:sz w:val="20"/>
          <w:szCs w:val="20"/>
          <w:lang w:val="en-AU"/>
        </w:rPr>
      </w:pPr>
    </w:p>
    <w:p w14:paraId="28618F0C" w14:textId="77777777" w:rsidR="00756E03" w:rsidRDefault="00756E03" w:rsidP="00A044CB">
      <w:pPr>
        <w:pStyle w:val="BodyText"/>
        <w:spacing w:after="120"/>
        <w:rPr>
          <w:rFonts w:ascii="Arial" w:hAnsi="Arial" w:cs="Arial"/>
          <w:sz w:val="20"/>
          <w:szCs w:val="20"/>
          <w:lang w:val="en-GB"/>
        </w:rPr>
      </w:pPr>
    </w:p>
    <w:p w14:paraId="41B97ADA" w14:textId="77777777" w:rsidR="00A22563" w:rsidRDefault="00A22563" w:rsidP="00A044CB">
      <w:pPr>
        <w:pStyle w:val="BodyText"/>
        <w:spacing w:after="120"/>
        <w:rPr>
          <w:rFonts w:ascii="Arial" w:hAnsi="Arial" w:cs="Arial"/>
          <w:sz w:val="20"/>
          <w:szCs w:val="20"/>
          <w:lang w:val="en-GB"/>
        </w:rPr>
      </w:pPr>
    </w:p>
    <w:p w14:paraId="03AADF95" w14:textId="77777777" w:rsidR="00A22563" w:rsidRPr="00B66EDA" w:rsidRDefault="00A724BF" w:rsidP="00A22563">
      <w:pPr>
        <w:pStyle w:val="ChapterHeading"/>
      </w:pPr>
      <w:r>
        <w:lastRenderedPageBreak/>
        <w:t>TREASURY MANAGEMENT PRACTICES (TMPs)</w:t>
      </w:r>
    </w:p>
    <w:p w14:paraId="4D4FF733" w14:textId="77777777" w:rsidR="00756E03" w:rsidRPr="00756E03" w:rsidRDefault="00A724BF" w:rsidP="00A22563">
      <w:pPr>
        <w:pStyle w:val="Subheading"/>
        <w:rPr>
          <w:lang w:eastAsia="en-GB"/>
        </w:rPr>
      </w:pPr>
      <w:r w:rsidRPr="00756E03">
        <w:rPr>
          <w:lang w:eastAsia="en-GB"/>
        </w:rPr>
        <w:t xml:space="preserve">TMP1 – CREDIT AND COUNTERPARTY RISK MANAGEMENT </w:t>
      </w:r>
    </w:p>
    <w:p w14:paraId="0FCB2F7B" w14:textId="77777777" w:rsidR="00756E03" w:rsidRDefault="00756E03" w:rsidP="00CF69B5">
      <w:pPr>
        <w:pStyle w:val="BodyText"/>
        <w:jc w:val="both"/>
        <w:rPr>
          <w:rFonts w:ascii="Arial" w:hAnsi="Arial" w:cs="Arial"/>
          <w:b/>
          <w:sz w:val="28"/>
          <w:szCs w:val="28"/>
          <w:lang w:val="en-GB" w:eastAsia="en-GB"/>
        </w:rPr>
      </w:pPr>
    </w:p>
    <w:p w14:paraId="00E92DE5" w14:textId="77777777" w:rsidR="00CF69B5" w:rsidRPr="00756E03" w:rsidRDefault="00A724BF" w:rsidP="00CF69B5">
      <w:pPr>
        <w:pStyle w:val="BodyText"/>
        <w:jc w:val="both"/>
        <w:rPr>
          <w:rFonts w:ascii="Arial" w:hAnsi="Arial" w:cs="Arial"/>
          <w:i/>
          <w:sz w:val="20"/>
          <w:szCs w:val="20"/>
          <w:lang w:val="en-GB"/>
        </w:rPr>
      </w:pPr>
      <w:r w:rsidRPr="00756E03">
        <w:rPr>
          <w:rFonts w:ascii="Arial" w:hAnsi="Arial" w:cs="Arial"/>
          <w:sz w:val="20"/>
          <w:szCs w:val="20"/>
          <w:lang w:val="en-GB"/>
        </w:rPr>
        <w:t xml:space="preserve">The </w:t>
      </w:r>
      <w:r w:rsidR="00756E03">
        <w:rPr>
          <w:rFonts w:ascii="Arial" w:hAnsi="Arial" w:cs="Arial"/>
          <w:sz w:val="20"/>
          <w:szCs w:val="20"/>
          <w:lang w:val="en-GB"/>
        </w:rPr>
        <w:t>DLU</w:t>
      </w:r>
      <w:r w:rsidRPr="00756E03">
        <w:rPr>
          <w:rFonts w:ascii="Arial" w:hAnsi="Arial" w:cs="Arial"/>
          <w:sz w:val="20"/>
          <w:szCs w:val="20"/>
          <w:lang w:val="en-GB"/>
        </w:rPr>
        <w:t>HC issued Investment Guidance in 2018, and this forms the structure of the Council’s policy below.   These guidelines do not apply to either trust funds or pension funds which operate under a different regulatory regime</w:t>
      </w:r>
      <w:r w:rsidRPr="00756E03">
        <w:rPr>
          <w:rFonts w:ascii="Arial" w:hAnsi="Arial" w:cs="Arial"/>
          <w:i/>
          <w:sz w:val="20"/>
          <w:szCs w:val="20"/>
          <w:lang w:val="en-GB"/>
        </w:rPr>
        <w:t>.</w:t>
      </w:r>
    </w:p>
    <w:p w14:paraId="0C92641D" w14:textId="77777777" w:rsidR="00CF69B5" w:rsidRPr="00756E03" w:rsidRDefault="00CF69B5" w:rsidP="00CF69B5">
      <w:pPr>
        <w:jc w:val="both"/>
        <w:rPr>
          <w:rFonts w:cs="Arial"/>
        </w:rPr>
      </w:pPr>
    </w:p>
    <w:p w14:paraId="67176FAC" w14:textId="77777777" w:rsidR="00CF69B5" w:rsidRPr="00756E03" w:rsidRDefault="00A724BF" w:rsidP="00CF69B5">
      <w:pPr>
        <w:jc w:val="both"/>
        <w:rPr>
          <w:rFonts w:cs="Arial"/>
        </w:rPr>
      </w:pPr>
      <w:r w:rsidRPr="00756E03">
        <w:rPr>
          <w:rFonts w:cs="Arial"/>
        </w:rPr>
        <w:t>The key intention of the Guidance is to maintain the current requirement for councils to invest prudently, and that priority is given to security and liquidity before yield.  In order to facilitate this objective the guidance requires this Council to have regard to the CIPFA publication Treasury Management in the Public Services: Code of Practice and Cross-Sectoral Guidance Notes.  This Council adopted the Code on 13/04/2012 and will apply its principles to all investment activity.  In accordance with the Code, the Chief Finance Officer has produced its treasury management practices (TMPs).  This part, TMP 1(1), covering investment counterparty policy requires approval each year.</w:t>
      </w:r>
    </w:p>
    <w:p w14:paraId="0923F53D" w14:textId="77777777" w:rsidR="00CF69B5" w:rsidRPr="00756E03" w:rsidRDefault="00CF69B5" w:rsidP="00CF69B5">
      <w:pPr>
        <w:jc w:val="both"/>
        <w:rPr>
          <w:rFonts w:cs="Arial"/>
        </w:rPr>
      </w:pPr>
    </w:p>
    <w:p w14:paraId="4383D590" w14:textId="77777777" w:rsidR="00CF69B5" w:rsidRPr="00756E03" w:rsidRDefault="00A724BF" w:rsidP="00CF69B5">
      <w:pPr>
        <w:jc w:val="both"/>
        <w:rPr>
          <w:rFonts w:cs="Arial"/>
        </w:rPr>
      </w:pPr>
      <w:r w:rsidRPr="00756E03">
        <w:rPr>
          <w:rFonts w:cs="Arial"/>
          <w:b/>
        </w:rPr>
        <w:t>Annual investment strategy</w:t>
      </w:r>
      <w:r w:rsidRPr="00756E03">
        <w:rPr>
          <w:rFonts w:cs="Arial"/>
        </w:rPr>
        <w:t xml:space="preserve"> - The key requirements of both the Code and the investment guidance are to set an annual investment strategy, as part of its annual treasury strategy for the following year</w:t>
      </w:r>
      <w:r w:rsidRPr="00756E03">
        <w:rPr>
          <w:rFonts w:cs="Arial"/>
          <w:i/>
        </w:rPr>
        <w:t>,</w:t>
      </w:r>
      <w:r w:rsidRPr="00756E03">
        <w:rPr>
          <w:rFonts w:cs="Arial"/>
        </w:rPr>
        <w:t xml:space="preserve"> covering the identification and approval of following:</w:t>
      </w:r>
    </w:p>
    <w:p w14:paraId="33A4DC31" w14:textId="77777777" w:rsidR="00CF69B5" w:rsidRPr="00756E03" w:rsidRDefault="00CF69B5" w:rsidP="00CF69B5">
      <w:pPr>
        <w:jc w:val="both"/>
        <w:rPr>
          <w:rFonts w:cs="Arial"/>
        </w:rPr>
      </w:pPr>
    </w:p>
    <w:p w14:paraId="56A00656" w14:textId="77777777" w:rsidR="00CF69B5" w:rsidRPr="00756E03" w:rsidRDefault="00A724BF" w:rsidP="00CF69B5">
      <w:pPr>
        <w:numPr>
          <w:ilvl w:val="0"/>
          <w:numId w:val="10"/>
        </w:numPr>
        <w:tabs>
          <w:tab w:val="clear" w:pos="417"/>
          <w:tab w:val="num" w:pos="1080"/>
        </w:tabs>
        <w:ind w:left="1080" w:hanging="1080"/>
        <w:jc w:val="both"/>
        <w:rPr>
          <w:rFonts w:cs="Arial"/>
        </w:rPr>
      </w:pPr>
      <w:r w:rsidRPr="00756E03">
        <w:rPr>
          <w:rFonts w:cs="Arial"/>
        </w:rPr>
        <w:t>The strategy guidelines for choosing and placing investments, particularly non-specified investments.</w:t>
      </w:r>
    </w:p>
    <w:p w14:paraId="541FF678" w14:textId="77777777" w:rsidR="00CF69B5" w:rsidRPr="00756E03" w:rsidRDefault="00A724BF" w:rsidP="00CF69B5">
      <w:pPr>
        <w:numPr>
          <w:ilvl w:val="0"/>
          <w:numId w:val="10"/>
        </w:numPr>
        <w:tabs>
          <w:tab w:val="clear" w:pos="417"/>
          <w:tab w:val="num" w:pos="1080"/>
        </w:tabs>
        <w:ind w:left="1080" w:hanging="1080"/>
        <w:jc w:val="both"/>
        <w:rPr>
          <w:rFonts w:cs="Arial"/>
        </w:rPr>
      </w:pPr>
      <w:r w:rsidRPr="00756E03">
        <w:rPr>
          <w:rFonts w:cs="Arial"/>
        </w:rPr>
        <w:t>The principles to be used to determine the maximum periods for which funds can be committed.</w:t>
      </w:r>
    </w:p>
    <w:p w14:paraId="693F42A4" w14:textId="77777777" w:rsidR="00CF69B5" w:rsidRPr="00756E03" w:rsidRDefault="00A724BF" w:rsidP="00CF69B5">
      <w:pPr>
        <w:numPr>
          <w:ilvl w:val="0"/>
          <w:numId w:val="10"/>
        </w:numPr>
        <w:tabs>
          <w:tab w:val="clear" w:pos="417"/>
          <w:tab w:val="num" w:pos="1080"/>
        </w:tabs>
        <w:ind w:left="1080" w:hanging="1080"/>
        <w:jc w:val="both"/>
        <w:rPr>
          <w:rFonts w:cs="Arial"/>
        </w:rPr>
      </w:pPr>
      <w:r w:rsidRPr="00756E03">
        <w:rPr>
          <w:rFonts w:cs="Arial"/>
        </w:rPr>
        <w:t>Specified investments that the Council will use.  These are high security (i.e. high credit rating, although this is defined by the Council, and no guidelines are given), and high liquidity investments in sterling and with a maturity of no more than a year.</w:t>
      </w:r>
    </w:p>
    <w:p w14:paraId="3AEC80BE" w14:textId="77777777" w:rsidR="00CF69B5" w:rsidRPr="00756E03" w:rsidRDefault="00A724BF" w:rsidP="00CF69B5">
      <w:pPr>
        <w:numPr>
          <w:ilvl w:val="0"/>
          <w:numId w:val="10"/>
        </w:numPr>
        <w:tabs>
          <w:tab w:val="clear" w:pos="417"/>
          <w:tab w:val="num" w:pos="1080"/>
        </w:tabs>
        <w:ind w:left="1080" w:hanging="1080"/>
        <w:jc w:val="both"/>
        <w:rPr>
          <w:rFonts w:cs="Arial"/>
        </w:rPr>
      </w:pPr>
      <w:r w:rsidRPr="00756E03">
        <w:rPr>
          <w:rFonts w:cs="Arial"/>
        </w:rPr>
        <w:t>Non-specified investments, clarifying the greater risk implications, identifying the general types of investment that may be used and a limit to the overall amount of various categories that can be held at any time.</w:t>
      </w:r>
    </w:p>
    <w:p w14:paraId="1E13D9D5" w14:textId="77777777" w:rsidR="00CF69B5" w:rsidRPr="00756E03" w:rsidRDefault="00CF69B5" w:rsidP="00CF69B5">
      <w:pPr>
        <w:jc w:val="both"/>
        <w:rPr>
          <w:rFonts w:cs="Arial"/>
        </w:rPr>
      </w:pPr>
    </w:p>
    <w:p w14:paraId="7A988DED" w14:textId="77777777" w:rsidR="00CF69B5" w:rsidRPr="00756E03" w:rsidRDefault="00A724BF" w:rsidP="00CF69B5">
      <w:pPr>
        <w:pStyle w:val="BodyText"/>
        <w:rPr>
          <w:rFonts w:ascii="Arial" w:hAnsi="Arial" w:cs="Arial"/>
          <w:sz w:val="20"/>
          <w:szCs w:val="20"/>
          <w:lang w:val="en-GB"/>
        </w:rPr>
      </w:pPr>
      <w:r w:rsidRPr="00756E03">
        <w:rPr>
          <w:rFonts w:ascii="Arial" w:hAnsi="Arial" w:cs="Arial"/>
          <w:sz w:val="20"/>
          <w:szCs w:val="20"/>
          <w:lang w:val="en-GB"/>
        </w:rPr>
        <w:t>The investment policy proposed for the Council is:</w:t>
      </w:r>
    </w:p>
    <w:p w14:paraId="4989BD3A" w14:textId="77777777" w:rsidR="00CF69B5" w:rsidRPr="00756E03" w:rsidRDefault="00CF69B5" w:rsidP="00CF69B5">
      <w:pPr>
        <w:jc w:val="both"/>
        <w:rPr>
          <w:rFonts w:cs="Arial"/>
        </w:rPr>
      </w:pPr>
    </w:p>
    <w:p w14:paraId="442D24EC" w14:textId="77777777" w:rsidR="00CF69B5" w:rsidRPr="00756E03" w:rsidRDefault="00A724BF" w:rsidP="00CF69B5">
      <w:pPr>
        <w:jc w:val="both"/>
        <w:rPr>
          <w:rFonts w:cs="Arial"/>
        </w:rPr>
      </w:pPr>
      <w:r w:rsidRPr="00756E03">
        <w:rPr>
          <w:rFonts w:cs="Arial"/>
          <w:b/>
          <w:bCs/>
          <w:iCs/>
        </w:rPr>
        <w:t>Strategy guidelines</w:t>
      </w:r>
      <w:r w:rsidRPr="00756E03">
        <w:rPr>
          <w:rFonts w:cs="Arial"/>
          <w:iCs/>
        </w:rPr>
        <w:t xml:space="preserve"> – The main strategy guidelines are contained in the body of the treasury strategy statement.</w:t>
      </w:r>
    </w:p>
    <w:p w14:paraId="12EE5D2F" w14:textId="77777777" w:rsidR="00CF69B5" w:rsidRPr="00756E03" w:rsidRDefault="00CF69B5" w:rsidP="00CF69B5">
      <w:pPr>
        <w:jc w:val="both"/>
        <w:rPr>
          <w:rFonts w:cs="Arial"/>
        </w:rPr>
      </w:pPr>
    </w:p>
    <w:p w14:paraId="5D7999AE" w14:textId="77777777" w:rsidR="00CF69B5" w:rsidRPr="00756E03" w:rsidRDefault="00A724BF" w:rsidP="00CF69B5">
      <w:pPr>
        <w:spacing w:after="120"/>
        <w:jc w:val="both"/>
        <w:rPr>
          <w:rFonts w:cs="Arial"/>
        </w:rPr>
      </w:pPr>
      <w:r w:rsidRPr="00756E03">
        <w:rPr>
          <w:rFonts w:cs="Arial"/>
          <w:b/>
          <w:bCs/>
        </w:rPr>
        <w:t>Specified investments</w:t>
      </w:r>
      <w:r w:rsidRPr="00756E03">
        <w:rPr>
          <w:rFonts w:cs="Arial"/>
        </w:rPr>
        <w:t xml:space="preserve"> – These investments are sterling investments of not more than one-year maturity, or those which could be for a longer period but where the Council has the right to be repaid within 12 months if it wishes.  </w:t>
      </w:r>
      <w:r w:rsidR="00ED3C83" w:rsidRPr="00ED3C83">
        <w:rPr>
          <w:rFonts w:cs="Arial"/>
        </w:rPr>
        <w:t xml:space="preserve">They also include investments which were originally classed as being non-specified investments, but which would have been classified as specified investments apart from originally being for a period longer than 12 months once the remaining period to maturity falls to under 12 months. </w:t>
      </w:r>
      <w:r w:rsidRPr="00756E03">
        <w:rPr>
          <w:rFonts w:cs="Arial"/>
        </w:rPr>
        <w:t>These are considered low risk assets where the possibility of loss of principal or investment income is small.  These would include sterling investments which would not be defined as capital expenditure with:</w:t>
      </w:r>
    </w:p>
    <w:p w14:paraId="1D099E9A" w14:textId="77777777" w:rsidR="00CF69B5" w:rsidRPr="00756E03" w:rsidRDefault="00A724BF" w:rsidP="00CF69B5">
      <w:pPr>
        <w:numPr>
          <w:ilvl w:val="0"/>
          <w:numId w:val="11"/>
        </w:numPr>
        <w:jc w:val="both"/>
        <w:rPr>
          <w:rFonts w:cs="Arial"/>
        </w:rPr>
      </w:pPr>
      <w:r w:rsidRPr="00756E03">
        <w:rPr>
          <w:rFonts w:cs="Arial"/>
        </w:rPr>
        <w:t>The UK Government (such as the Debt Management Account deposit facility, UK treasury bills or a gilt with less than one year to maturity).</w:t>
      </w:r>
    </w:p>
    <w:p w14:paraId="15162D20" w14:textId="77777777" w:rsidR="00CF69B5" w:rsidRPr="00756E03" w:rsidRDefault="00A724BF" w:rsidP="00CF69B5">
      <w:pPr>
        <w:numPr>
          <w:ilvl w:val="0"/>
          <w:numId w:val="11"/>
        </w:numPr>
        <w:jc w:val="both"/>
        <w:rPr>
          <w:rFonts w:cs="Arial"/>
        </w:rPr>
      </w:pPr>
      <w:r w:rsidRPr="00756E03">
        <w:rPr>
          <w:rFonts w:cs="Arial"/>
        </w:rPr>
        <w:t>Supranational bonds of less than one year’s duration.</w:t>
      </w:r>
    </w:p>
    <w:p w14:paraId="0ECDDA6D" w14:textId="77777777" w:rsidR="00CF69B5" w:rsidRPr="00756E03" w:rsidRDefault="00A724BF" w:rsidP="00CF69B5">
      <w:pPr>
        <w:numPr>
          <w:ilvl w:val="0"/>
          <w:numId w:val="11"/>
        </w:numPr>
        <w:jc w:val="both"/>
        <w:rPr>
          <w:rFonts w:cs="Arial"/>
        </w:rPr>
      </w:pPr>
      <w:r w:rsidRPr="00756E03">
        <w:rPr>
          <w:rFonts w:cs="Arial"/>
        </w:rPr>
        <w:t>A local authority, housing association, parish council or community council.</w:t>
      </w:r>
    </w:p>
    <w:p w14:paraId="0A414B1D" w14:textId="77777777" w:rsidR="00CF69B5" w:rsidRPr="00756E03" w:rsidRDefault="00A724BF" w:rsidP="00CF69B5">
      <w:pPr>
        <w:numPr>
          <w:ilvl w:val="0"/>
          <w:numId w:val="11"/>
        </w:numPr>
        <w:jc w:val="both"/>
        <w:rPr>
          <w:rFonts w:cs="Arial"/>
          <w:i/>
          <w:iCs/>
        </w:rPr>
      </w:pPr>
      <w:r w:rsidRPr="00756E03">
        <w:rPr>
          <w:rFonts w:cs="Arial"/>
        </w:rPr>
        <w:t xml:space="preserve">Pooled investment vehicles (such as money market funds) that have been awarded a high credit rating by a credit rating agency. For category 4 this covers pooled investment vehicles, such as money market funds, </w:t>
      </w:r>
      <w:r w:rsidR="00ED3C83">
        <w:rPr>
          <w:rFonts w:cs="Arial"/>
        </w:rPr>
        <w:t xml:space="preserve">that have been awarded a high credit rating </w:t>
      </w:r>
      <w:r w:rsidRPr="00756E03">
        <w:rPr>
          <w:rFonts w:cs="Arial"/>
        </w:rPr>
        <w:t>by Standard and Poor’s, Moody’s and / or Fitch rating agencies</w:t>
      </w:r>
      <w:r w:rsidRPr="00756E03">
        <w:rPr>
          <w:rFonts w:cs="Arial"/>
          <w:i/>
          <w:iCs/>
        </w:rPr>
        <w:t>.</w:t>
      </w:r>
    </w:p>
    <w:p w14:paraId="05EB3DE7" w14:textId="77777777" w:rsidR="00CF69B5" w:rsidRPr="00756E03" w:rsidRDefault="00A724BF" w:rsidP="00CF69B5">
      <w:pPr>
        <w:numPr>
          <w:ilvl w:val="0"/>
          <w:numId w:val="11"/>
        </w:numPr>
        <w:jc w:val="both"/>
        <w:rPr>
          <w:rFonts w:cs="Arial"/>
          <w:i/>
          <w:iCs/>
        </w:rPr>
      </w:pPr>
      <w:r w:rsidRPr="00756E03">
        <w:rPr>
          <w:rFonts w:cs="Arial"/>
        </w:rPr>
        <w:t xml:space="preserve">A body that is considered of a high credit quality (such as a bank or building society).   For category 5 this covers bodies with a minimum Short Term rating of F1 (or the equivalent) as rated by Standard and Poor’s, Moody’s and / or Fitch rating agencies.  </w:t>
      </w:r>
    </w:p>
    <w:p w14:paraId="2CB27A65" w14:textId="77777777" w:rsidR="00CF69B5" w:rsidRPr="00803FAA" w:rsidRDefault="00A724BF" w:rsidP="00ED3C83">
      <w:pPr>
        <w:spacing w:before="120"/>
        <w:jc w:val="both"/>
        <w:rPr>
          <w:rFonts w:cs="Arial"/>
          <w:i/>
          <w:iCs/>
          <w:sz w:val="22"/>
          <w:szCs w:val="22"/>
        </w:rPr>
      </w:pPr>
      <w:r w:rsidRPr="00756E03">
        <w:rPr>
          <w:rFonts w:cs="Arial"/>
        </w:rPr>
        <w:lastRenderedPageBreak/>
        <w:t>Within these bodies, and in accordance with the Code, the Council has set additional criteria to set the time and amount of monies which will be invested in these bodies</w:t>
      </w:r>
      <w:r w:rsidR="00ED3C83">
        <w:rPr>
          <w:rFonts w:cs="Arial"/>
        </w:rPr>
        <w:t>, as disclosed in the investment strategy in section 4.</w:t>
      </w:r>
    </w:p>
    <w:p w14:paraId="560E465D" w14:textId="77777777" w:rsidR="00CF69B5" w:rsidRPr="00416DEC" w:rsidRDefault="00A724BF" w:rsidP="00CF69B5">
      <w:pPr>
        <w:spacing w:before="120"/>
        <w:jc w:val="both"/>
        <w:rPr>
          <w:rFonts w:cs="Arial"/>
        </w:rPr>
      </w:pPr>
      <w:r w:rsidRPr="00416DEC">
        <w:rPr>
          <w:rFonts w:cs="Arial"/>
          <w:b/>
          <w:bCs/>
        </w:rPr>
        <w:t>Non-specified investments</w:t>
      </w:r>
      <w:r w:rsidRPr="00416DEC">
        <w:rPr>
          <w:rFonts w:cs="Arial"/>
        </w:rPr>
        <w:t xml:space="preserve"> – are any other type of investment (</w:t>
      </w:r>
      <w:proofErr w:type="gramStart"/>
      <w:r w:rsidRPr="00416DEC">
        <w:rPr>
          <w:rFonts w:cs="Arial"/>
        </w:rPr>
        <w:t>i.e.</w:t>
      </w:r>
      <w:proofErr w:type="gramEnd"/>
      <w:r w:rsidRPr="00416DEC">
        <w:rPr>
          <w:rFonts w:cs="Arial"/>
        </w:rPr>
        <w:t xml:space="preserve"> not defined as specified above).  The identification and rationale supporting the selection of these other investments and the maximum limits to be applied are set out below.</w:t>
      </w:r>
    </w:p>
    <w:p w14:paraId="7CAE372C" w14:textId="77777777" w:rsidR="00CF69B5" w:rsidRPr="00803FAA" w:rsidRDefault="00CF69B5" w:rsidP="00CF69B5">
      <w:pPr>
        <w:jc w:val="both"/>
        <w:rPr>
          <w:rFonts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85"/>
        <w:gridCol w:w="6280"/>
        <w:gridCol w:w="1737"/>
      </w:tblGrid>
      <w:tr w:rsidR="002252C6" w14:paraId="1F2C0C1C" w14:textId="77777777" w:rsidTr="00C30484">
        <w:tc>
          <w:tcPr>
            <w:tcW w:w="285" w:type="dxa"/>
            <w:tcBorders>
              <w:top w:val="single" w:sz="4" w:space="0" w:color="auto"/>
            </w:tcBorders>
          </w:tcPr>
          <w:p w14:paraId="42878793" w14:textId="77777777" w:rsidR="00CF69B5" w:rsidRPr="00803FAA" w:rsidRDefault="00CF69B5" w:rsidP="00C30484">
            <w:pPr>
              <w:spacing w:after="120"/>
              <w:jc w:val="both"/>
              <w:rPr>
                <w:rFonts w:cs="Arial"/>
                <w:b/>
                <w:iCs/>
                <w:sz w:val="22"/>
                <w:szCs w:val="22"/>
              </w:rPr>
            </w:pPr>
          </w:p>
        </w:tc>
        <w:tc>
          <w:tcPr>
            <w:tcW w:w="6280" w:type="dxa"/>
            <w:tcBorders>
              <w:top w:val="single" w:sz="4" w:space="0" w:color="auto"/>
            </w:tcBorders>
          </w:tcPr>
          <w:p w14:paraId="6468DE27" w14:textId="77777777" w:rsidR="00CF69B5" w:rsidRPr="00803FAA" w:rsidRDefault="00A724BF" w:rsidP="00C30484">
            <w:pPr>
              <w:spacing w:after="120"/>
              <w:jc w:val="both"/>
              <w:rPr>
                <w:rFonts w:cs="Arial"/>
                <w:b/>
                <w:iCs/>
                <w:sz w:val="22"/>
                <w:szCs w:val="22"/>
              </w:rPr>
            </w:pPr>
            <w:r w:rsidRPr="00803FAA">
              <w:rPr>
                <w:rFonts w:cs="Arial"/>
                <w:b/>
                <w:iCs/>
                <w:sz w:val="22"/>
                <w:szCs w:val="22"/>
              </w:rPr>
              <w:t>Non-Specified</w:t>
            </w:r>
            <w:r w:rsidR="00B02E25" w:rsidRPr="00803FAA">
              <w:rPr>
                <w:rFonts w:cs="Arial"/>
                <w:b/>
                <w:iCs/>
                <w:sz w:val="22"/>
                <w:szCs w:val="22"/>
              </w:rPr>
              <w:t xml:space="preserve"> Investment Category</w:t>
            </w:r>
          </w:p>
        </w:tc>
        <w:tc>
          <w:tcPr>
            <w:tcW w:w="1737" w:type="dxa"/>
            <w:tcBorders>
              <w:top w:val="single" w:sz="4" w:space="0" w:color="auto"/>
            </w:tcBorders>
          </w:tcPr>
          <w:p w14:paraId="261F7083" w14:textId="77777777" w:rsidR="00CF69B5" w:rsidRPr="00803FAA" w:rsidRDefault="00A724BF" w:rsidP="00C30484">
            <w:pPr>
              <w:spacing w:after="120"/>
              <w:jc w:val="both"/>
              <w:rPr>
                <w:rFonts w:cs="Arial"/>
                <w:b/>
                <w:iCs/>
                <w:sz w:val="22"/>
                <w:szCs w:val="22"/>
              </w:rPr>
            </w:pPr>
            <w:r w:rsidRPr="00803FAA">
              <w:rPr>
                <w:rFonts w:cs="Arial"/>
                <w:b/>
                <w:iCs/>
                <w:sz w:val="22"/>
                <w:szCs w:val="22"/>
              </w:rPr>
              <w:t>Limit (£ or %)</w:t>
            </w:r>
          </w:p>
        </w:tc>
      </w:tr>
      <w:tr w:rsidR="002252C6" w14:paraId="27B259E9" w14:textId="77777777" w:rsidTr="00C30484">
        <w:tc>
          <w:tcPr>
            <w:tcW w:w="285" w:type="dxa"/>
          </w:tcPr>
          <w:p w14:paraId="77D962B0" w14:textId="77777777" w:rsidR="00CF69B5" w:rsidRPr="00803FAA" w:rsidRDefault="00CF69B5" w:rsidP="00CF69B5">
            <w:pPr>
              <w:numPr>
                <w:ilvl w:val="1"/>
                <w:numId w:val="12"/>
              </w:numPr>
              <w:spacing w:after="120"/>
              <w:ind w:left="0" w:firstLine="0"/>
              <w:jc w:val="both"/>
              <w:rPr>
                <w:rFonts w:cs="Arial"/>
                <w:iCs/>
                <w:sz w:val="22"/>
                <w:szCs w:val="22"/>
              </w:rPr>
            </w:pPr>
          </w:p>
        </w:tc>
        <w:tc>
          <w:tcPr>
            <w:tcW w:w="6280" w:type="dxa"/>
          </w:tcPr>
          <w:p w14:paraId="69ABF5F1" w14:textId="77777777" w:rsidR="00CF69B5" w:rsidRPr="00803FAA" w:rsidRDefault="00A724BF" w:rsidP="00C30484">
            <w:pPr>
              <w:spacing w:after="120"/>
              <w:jc w:val="both"/>
              <w:rPr>
                <w:rFonts w:cs="Arial"/>
                <w:b/>
                <w:iCs/>
                <w:sz w:val="22"/>
                <w:szCs w:val="22"/>
              </w:rPr>
            </w:pPr>
            <w:r w:rsidRPr="00803FAA">
              <w:rPr>
                <w:rFonts w:cs="Arial"/>
                <w:b/>
                <w:iCs/>
                <w:sz w:val="22"/>
                <w:szCs w:val="22"/>
              </w:rPr>
              <w:t>Supranational bonds greater than 1 year to maturity</w:t>
            </w:r>
          </w:p>
          <w:p w14:paraId="05071012" w14:textId="77777777" w:rsidR="00CF69B5" w:rsidRPr="00803FAA" w:rsidRDefault="00A724BF" w:rsidP="00C30484">
            <w:pPr>
              <w:spacing w:after="120"/>
              <w:jc w:val="both"/>
              <w:rPr>
                <w:rFonts w:cs="Arial"/>
                <w:sz w:val="22"/>
                <w:szCs w:val="22"/>
              </w:rPr>
            </w:pPr>
            <w:r w:rsidRPr="00803FAA">
              <w:rPr>
                <w:rFonts w:cs="Arial"/>
                <w:b/>
                <w:iCs/>
                <w:sz w:val="22"/>
                <w:szCs w:val="22"/>
              </w:rPr>
              <w:t>(a) Multilateral development bank</w:t>
            </w:r>
            <w:r w:rsidRPr="00803FAA">
              <w:rPr>
                <w:rFonts w:cs="Arial"/>
                <w:b/>
                <w:i/>
                <w:iCs/>
                <w:sz w:val="22"/>
                <w:szCs w:val="22"/>
              </w:rPr>
              <w:t xml:space="preserve"> </w:t>
            </w:r>
            <w:r w:rsidRPr="00803FAA">
              <w:rPr>
                <w:rFonts w:cs="Arial"/>
                <w:b/>
                <w:iCs/>
                <w:sz w:val="22"/>
                <w:szCs w:val="22"/>
              </w:rPr>
              <w:t>bonds</w:t>
            </w:r>
            <w:r w:rsidRPr="00803FAA">
              <w:rPr>
                <w:rFonts w:cs="Arial"/>
                <w:iCs/>
                <w:sz w:val="22"/>
                <w:szCs w:val="22"/>
              </w:rPr>
              <w:t xml:space="preserve"> - </w:t>
            </w:r>
            <w:r w:rsidRPr="00803FAA">
              <w:rPr>
                <w:rFonts w:cs="Arial"/>
                <w:sz w:val="22"/>
                <w:szCs w:val="22"/>
              </w:rPr>
              <w:t xml:space="preserve">These are bonds defined as an international financial institution having as one of its objects economic </w:t>
            </w:r>
            <w:proofErr w:type="gramStart"/>
            <w:r w:rsidRPr="00803FAA">
              <w:rPr>
                <w:rFonts w:cs="Arial"/>
                <w:sz w:val="22"/>
                <w:szCs w:val="22"/>
              </w:rPr>
              <w:t>development</w:t>
            </w:r>
            <w:proofErr w:type="gramEnd"/>
            <w:r w:rsidRPr="00803FAA">
              <w:rPr>
                <w:rFonts w:cs="Arial"/>
                <w:sz w:val="22"/>
                <w:szCs w:val="22"/>
              </w:rPr>
              <w:t xml:space="preserve">, either generally or in any region of the world (e.g. European Reconstruction and Development Bank etc.).  </w:t>
            </w:r>
          </w:p>
          <w:p w14:paraId="7B003D21" w14:textId="77777777" w:rsidR="00CF69B5" w:rsidRPr="00803FAA" w:rsidRDefault="00A724BF" w:rsidP="00C30484">
            <w:pPr>
              <w:spacing w:after="120"/>
              <w:jc w:val="both"/>
              <w:rPr>
                <w:rFonts w:cs="Arial"/>
                <w:sz w:val="22"/>
                <w:szCs w:val="22"/>
              </w:rPr>
            </w:pPr>
            <w:r w:rsidRPr="00803FAA">
              <w:rPr>
                <w:rFonts w:cs="Arial"/>
                <w:b/>
                <w:sz w:val="22"/>
                <w:szCs w:val="22"/>
              </w:rPr>
              <w:t>(b)</w:t>
            </w:r>
            <w:r w:rsidRPr="00803FAA">
              <w:rPr>
                <w:rFonts w:cs="Arial"/>
                <w:sz w:val="22"/>
                <w:szCs w:val="22"/>
              </w:rPr>
              <w:t xml:space="preserve"> </w:t>
            </w:r>
            <w:r w:rsidRPr="00803FAA">
              <w:rPr>
                <w:rFonts w:cs="Arial"/>
                <w:b/>
                <w:sz w:val="22"/>
                <w:szCs w:val="22"/>
              </w:rPr>
              <w:t>A financial institution that is guaranteed by the United Kingdom Government</w:t>
            </w:r>
            <w:r w:rsidRPr="00803FAA">
              <w:rPr>
                <w:rFonts w:cs="Arial"/>
                <w:sz w:val="22"/>
                <w:szCs w:val="22"/>
              </w:rPr>
              <w:t xml:space="preserve"> (</w:t>
            </w:r>
            <w:proofErr w:type="gramStart"/>
            <w:r w:rsidRPr="00803FAA">
              <w:rPr>
                <w:rFonts w:cs="Arial"/>
                <w:sz w:val="22"/>
                <w:szCs w:val="22"/>
              </w:rPr>
              <w:t>e.g.</w:t>
            </w:r>
            <w:proofErr w:type="gramEnd"/>
            <w:r w:rsidRPr="00803FAA">
              <w:rPr>
                <w:rFonts w:cs="Arial"/>
                <w:sz w:val="22"/>
                <w:szCs w:val="22"/>
              </w:rPr>
              <w:t xml:space="preserve"> Nationa</w:t>
            </w:r>
            <w:r>
              <w:rPr>
                <w:rFonts w:cs="Arial"/>
                <w:sz w:val="22"/>
                <w:szCs w:val="22"/>
              </w:rPr>
              <w:t>l Rail</w:t>
            </w:r>
            <w:r w:rsidRPr="00803FAA">
              <w:rPr>
                <w:rFonts w:cs="Arial"/>
                <w:sz w:val="22"/>
                <w:szCs w:val="22"/>
              </w:rPr>
              <w:t>)</w:t>
            </w:r>
          </w:p>
          <w:p w14:paraId="53361CD7" w14:textId="77777777" w:rsidR="00CF69B5" w:rsidRPr="00803FAA" w:rsidRDefault="00A724BF" w:rsidP="00C30484">
            <w:pPr>
              <w:spacing w:after="120"/>
              <w:jc w:val="both"/>
              <w:rPr>
                <w:rFonts w:cs="Arial"/>
                <w:iCs/>
                <w:sz w:val="22"/>
                <w:szCs w:val="22"/>
              </w:rPr>
            </w:pPr>
            <w:r w:rsidRPr="00803FAA">
              <w:rPr>
                <w:rFonts w:cs="Arial"/>
                <w:sz w:val="22"/>
                <w:szCs w:val="22"/>
              </w:rPr>
              <w:t xml:space="preserve">The security of interest and principal on maturity is on a par with the Government and so very secure.  These bonds usually provide returns above equivalent </w:t>
            </w:r>
            <w:proofErr w:type="gramStart"/>
            <w:r w:rsidRPr="00803FAA">
              <w:rPr>
                <w:rFonts w:cs="Arial"/>
                <w:sz w:val="22"/>
                <w:szCs w:val="22"/>
              </w:rPr>
              <w:t>gilt edged</w:t>
            </w:r>
            <w:proofErr w:type="gramEnd"/>
            <w:r w:rsidRPr="00803FAA">
              <w:rPr>
                <w:rFonts w:cs="Arial"/>
                <w:sz w:val="22"/>
                <w:szCs w:val="22"/>
              </w:rPr>
              <w:t xml:space="preserve"> securities. However the value of the bond may rise or fall before maturity and losses may accrue if the bond is sold before maturity.  </w:t>
            </w:r>
          </w:p>
        </w:tc>
        <w:tc>
          <w:tcPr>
            <w:tcW w:w="1737" w:type="dxa"/>
          </w:tcPr>
          <w:p w14:paraId="5DFD35B3" w14:textId="77777777" w:rsidR="00CF69B5" w:rsidRPr="0021442C" w:rsidRDefault="00A724BF" w:rsidP="00C30484">
            <w:pPr>
              <w:spacing w:before="60" w:after="60"/>
              <w:ind w:left="175"/>
              <w:rPr>
                <w:rFonts w:cs="Arial"/>
                <w:iCs/>
                <w:spacing w:val="0"/>
                <w:sz w:val="22"/>
                <w:szCs w:val="22"/>
                <w:lang w:eastAsia="en-GB"/>
              </w:rPr>
            </w:pPr>
            <w:r w:rsidRPr="0021442C">
              <w:rPr>
                <w:rFonts w:cs="Arial"/>
                <w:iCs/>
                <w:sz w:val="22"/>
                <w:szCs w:val="22"/>
              </w:rPr>
              <w:t xml:space="preserve">AAA long term ratings, </w:t>
            </w:r>
            <w:r w:rsidRPr="0021442C">
              <w:rPr>
                <w:rFonts w:cs="Arial"/>
                <w:iCs/>
                <w:spacing w:val="0"/>
                <w:sz w:val="22"/>
                <w:szCs w:val="22"/>
                <w:lang w:eastAsia="en-GB"/>
              </w:rPr>
              <w:t>50% of money invested through external fund manager. Restriction of 5yrs maximum maturity</w:t>
            </w:r>
          </w:p>
          <w:p w14:paraId="56020CD0" w14:textId="77777777" w:rsidR="00CF69B5" w:rsidRPr="00803FAA" w:rsidRDefault="00CF69B5" w:rsidP="00C30484">
            <w:pPr>
              <w:spacing w:after="120"/>
              <w:jc w:val="both"/>
              <w:rPr>
                <w:rFonts w:cs="Arial"/>
                <w:iCs/>
                <w:sz w:val="22"/>
                <w:szCs w:val="22"/>
              </w:rPr>
            </w:pPr>
          </w:p>
        </w:tc>
      </w:tr>
      <w:tr w:rsidR="002252C6" w14:paraId="4A9996DE" w14:textId="77777777" w:rsidTr="00C30484">
        <w:tc>
          <w:tcPr>
            <w:tcW w:w="285" w:type="dxa"/>
          </w:tcPr>
          <w:p w14:paraId="00300B07" w14:textId="77777777" w:rsidR="00CF69B5" w:rsidRPr="00803FAA" w:rsidRDefault="00CF69B5" w:rsidP="00CF69B5">
            <w:pPr>
              <w:numPr>
                <w:ilvl w:val="1"/>
                <w:numId w:val="12"/>
              </w:numPr>
              <w:spacing w:after="120"/>
              <w:ind w:left="0" w:firstLine="0"/>
              <w:jc w:val="both"/>
              <w:rPr>
                <w:rFonts w:cs="Arial"/>
                <w:sz w:val="22"/>
                <w:szCs w:val="22"/>
              </w:rPr>
            </w:pPr>
          </w:p>
        </w:tc>
        <w:tc>
          <w:tcPr>
            <w:tcW w:w="6280" w:type="dxa"/>
          </w:tcPr>
          <w:p w14:paraId="4E23B4AE" w14:textId="77777777" w:rsidR="00CF69B5" w:rsidRPr="00803FAA" w:rsidRDefault="00A724BF" w:rsidP="00C30484">
            <w:pPr>
              <w:spacing w:after="120"/>
              <w:jc w:val="both"/>
              <w:rPr>
                <w:rFonts w:cs="Arial"/>
                <w:iCs/>
                <w:sz w:val="22"/>
                <w:szCs w:val="22"/>
              </w:rPr>
            </w:pPr>
            <w:r w:rsidRPr="00803FAA">
              <w:rPr>
                <w:rFonts w:cs="Arial"/>
                <w:b/>
                <w:sz w:val="22"/>
                <w:szCs w:val="22"/>
              </w:rPr>
              <w:t>Gilt edged securities</w:t>
            </w:r>
            <w:r w:rsidRPr="00803FAA">
              <w:rPr>
                <w:rFonts w:cs="Arial"/>
                <w:sz w:val="22"/>
                <w:szCs w:val="22"/>
              </w:rPr>
              <w:t xml:space="preserve"> with a maturity of greater than one year.  These are Government bonds and so provide the highest security of interest and the repayment of principal on maturity. Similar to category (a) above, the value of the bond may rise or fall before maturity and losses may accrue if the bond is sold before maturity.</w:t>
            </w:r>
          </w:p>
        </w:tc>
        <w:tc>
          <w:tcPr>
            <w:tcW w:w="1737" w:type="dxa"/>
          </w:tcPr>
          <w:p w14:paraId="4AD74656" w14:textId="77777777" w:rsidR="00CF69B5" w:rsidRPr="0021442C" w:rsidRDefault="00A724BF" w:rsidP="00C30484">
            <w:pPr>
              <w:spacing w:before="60" w:after="60"/>
              <w:ind w:left="175"/>
              <w:rPr>
                <w:rFonts w:cs="Arial"/>
                <w:iCs/>
                <w:spacing w:val="0"/>
                <w:sz w:val="22"/>
                <w:szCs w:val="22"/>
                <w:lang w:eastAsia="en-GB"/>
              </w:rPr>
            </w:pPr>
            <w:r w:rsidRPr="0021442C">
              <w:rPr>
                <w:rFonts w:cs="Arial"/>
                <w:iCs/>
                <w:spacing w:val="0"/>
                <w:sz w:val="22"/>
                <w:szCs w:val="22"/>
                <w:lang w:eastAsia="en-GB"/>
              </w:rPr>
              <w:t>50% of money invested through external fund manager. Restriction of 10yrs maximum maturity</w:t>
            </w:r>
          </w:p>
          <w:p w14:paraId="3FB23246" w14:textId="77777777" w:rsidR="00CF69B5" w:rsidRPr="0021442C" w:rsidRDefault="00A724BF" w:rsidP="00C30484">
            <w:pPr>
              <w:spacing w:before="60" w:after="60"/>
              <w:ind w:left="175"/>
              <w:rPr>
                <w:rFonts w:cs="Arial"/>
                <w:iCs/>
                <w:spacing w:val="0"/>
                <w:sz w:val="22"/>
                <w:szCs w:val="22"/>
                <w:lang w:eastAsia="en-GB"/>
              </w:rPr>
            </w:pPr>
            <w:r w:rsidRPr="0021442C">
              <w:rPr>
                <w:rFonts w:cs="Arial"/>
                <w:iCs/>
                <w:spacing w:val="0"/>
                <w:sz w:val="22"/>
                <w:szCs w:val="22"/>
                <w:lang w:eastAsia="en-GB"/>
              </w:rPr>
              <w:t>50% of money invested through external fund manager. Restriction of 10yrs maximum maturity</w:t>
            </w:r>
          </w:p>
          <w:p w14:paraId="323F89E3" w14:textId="77777777" w:rsidR="00CF69B5" w:rsidRPr="00803FAA" w:rsidRDefault="00CF69B5" w:rsidP="00C30484">
            <w:pPr>
              <w:spacing w:after="120"/>
              <w:jc w:val="both"/>
              <w:rPr>
                <w:rFonts w:cs="Arial"/>
                <w:iCs/>
                <w:sz w:val="22"/>
                <w:szCs w:val="22"/>
              </w:rPr>
            </w:pPr>
          </w:p>
        </w:tc>
      </w:tr>
      <w:tr w:rsidR="002252C6" w14:paraId="6CEB67A0" w14:textId="77777777" w:rsidTr="00C30484">
        <w:tc>
          <w:tcPr>
            <w:tcW w:w="285" w:type="dxa"/>
          </w:tcPr>
          <w:p w14:paraId="013D8E7B" w14:textId="77777777" w:rsidR="00CF69B5" w:rsidRPr="00803FAA" w:rsidRDefault="00CF69B5" w:rsidP="00CF69B5">
            <w:pPr>
              <w:numPr>
                <w:ilvl w:val="1"/>
                <w:numId w:val="12"/>
              </w:numPr>
              <w:spacing w:after="120"/>
              <w:ind w:left="0" w:firstLine="0"/>
              <w:jc w:val="both"/>
              <w:rPr>
                <w:rFonts w:cs="Arial"/>
                <w:sz w:val="22"/>
                <w:szCs w:val="22"/>
              </w:rPr>
            </w:pPr>
          </w:p>
        </w:tc>
        <w:tc>
          <w:tcPr>
            <w:tcW w:w="6280" w:type="dxa"/>
          </w:tcPr>
          <w:p w14:paraId="318FB144" w14:textId="77777777" w:rsidR="00CF69B5" w:rsidRPr="00803FAA" w:rsidRDefault="00A724BF" w:rsidP="00C30484">
            <w:pPr>
              <w:pStyle w:val="BodyText"/>
              <w:spacing w:after="120"/>
              <w:rPr>
                <w:rFonts w:ascii="Arial" w:hAnsi="Arial" w:cs="Arial"/>
                <w:b/>
                <w:iCs/>
                <w:sz w:val="22"/>
                <w:szCs w:val="22"/>
                <w:lang w:val="en-GB"/>
              </w:rPr>
            </w:pPr>
            <w:r w:rsidRPr="00803FAA">
              <w:rPr>
                <w:rFonts w:ascii="Arial" w:hAnsi="Arial" w:cs="Arial"/>
                <w:b/>
                <w:iCs/>
                <w:sz w:val="22"/>
                <w:szCs w:val="22"/>
                <w:lang w:val="en-GB"/>
              </w:rPr>
              <w:t xml:space="preserve">The Council’s own banker </w:t>
            </w:r>
            <w:r w:rsidRPr="00803FAA">
              <w:rPr>
                <w:rFonts w:ascii="Arial" w:hAnsi="Arial" w:cs="Arial"/>
                <w:iCs/>
                <w:sz w:val="22"/>
                <w:szCs w:val="22"/>
                <w:lang w:val="en-GB"/>
              </w:rPr>
              <w:t>if it fails to meet the basic credit criteria.  In this instance balances will be minimised as far as is possible.</w:t>
            </w:r>
          </w:p>
        </w:tc>
        <w:tc>
          <w:tcPr>
            <w:tcW w:w="1737" w:type="dxa"/>
          </w:tcPr>
          <w:p w14:paraId="70905A76" w14:textId="77777777" w:rsidR="00CF69B5" w:rsidRPr="00803FAA" w:rsidRDefault="00A724BF" w:rsidP="00C30484">
            <w:pPr>
              <w:spacing w:after="120"/>
              <w:jc w:val="both"/>
              <w:rPr>
                <w:rFonts w:cs="Arial"/>
                <w:iCs/>
                <w:sz w:val="22"/>
                <w:szCs w:val="22"/>
              </w:rPr>
            </w:pPr>
            <w:r w:rsidRPr="0021442C">
              <w:rPr>
                <w:rFonts w:cs="Arial"/>
                <w:iCs/>
                <w:spacing w:val="0"/>
                <w:sz w:val="22"/>
                <w:szCs w:val="22"/>
                <w:lang w:eastAsia="en-GB"/>
              </w:rPr>
              <w:t>In this instance balances will be minimised as far as is possible.</w:t>
            </w:r>
          </w:p>
        </w:tc>
      </w:tr>
      <w:tr w:rsidR="002252C6" w14:paraId="12FF4B61" w14:textId="77777777" w:rsidTr="00C30484">
        <w:tc>
          <w:tcPr>
            <w:tcW w:w="285" w:type="dxa"/>
          </w:tcPr>
          <w:p w14:paraId="1DF34602" w14:textId="77777777" w:rsidR="00CF69B5" w:rsidRPr="00803FAA" w:rsidRDefault="00CF69B5" w:rsidP="00CF69B5">
            <w:pPr>
              <w:numPr>
                <w:ilvl w:val="1"/>
                <w:numId w:val="12"/>
              </w:numPr>
              <w:spacing w:after="120"/>
              <w:ind w:left="0" w:firstLine="0"/>
              <w:jc w:val="both"/>
              <w:rPr>
                <w:rFonts w:cs="Arial"/>
                <w:sz w:val="22"/>
                <w:szCs w:val="22"/>
              </w:rPr>
            </w:pPr>
          </w:p>
        </w:tc>
        <w:tc>
          <w:tcPr>
            <w:tcW w:w="6280" w:type="dxa"/>
          </w:tcPr>
          <w:p w14:paraId="18D18F53" w14:textId="77777777" w:rsidR="00CF69B5" w:rsidRPr="00803FAA" w:rsidRDefault="00A724BF" w:rsidP="00C30484">
            <w:pPr>
              <w:spacing w:after="120"/>
              <w:jc w:val="both"/>
              <w:rPr>
                <w:rFonts w:cs="Arial"/>
                <w:iCs/>
                <w:sz w:val="22"/>
                <w:szCs w:val="22"/>
              </w:rPr>
            </w:pPr>
            <w:r w:rsidRPr="00803FAA">
              <w:rPr>
                <w:rFonts w:cs="Arial"/>
                <w:b/>
                <w:sz w:val="22"/>
                <w:szCs w:val="22"/>
              </w:rPr>
              <w:t>Building societies not meeting the basic security requirements under the specified investments</w:t>
            </w:r>
            <w:r w:rsidRPr="00803FAA">
              <w:rPr>
                <w:rFonts w:cs="Arial"/>
                <w:sz w:val="22"/>
                <w:szCs w:val="22"/>
              </w:rPr>
              <w:t xml:space="preserve">.  The operation of some building societies does not require a credit rating, although </w:t>
            </w:r>
            <w:r w:rsidRPr="00803FAA">
              <w:rPr>
                <w:rFonts w:cs="Arial"/>
                <w:sz w:val="22"/>
                <w:szCs w:val="22"/>
              </w:rPr>
              <w:lastRenderedPageBreak/>
              <w:t>in every other respect the security of the society would match similarly sized societies with ratings.  The Council may use such building societies which have a minimum asset size of £</w:t>
            </w:r>
            <w:r>
              <w:rPr>
                <w:rFonts w:cs="Arial"/>
                <w:i/>
                <w:sz w:val="22"/>
                <w:szCs w:val="22"/>
              </w:rPr>
              <w:t>1bn</w:t>
            </w:r>
            <w:r w:rsidRPr="00803FAA">
              <w:rPr>
                <w:rFonts w:cs="Arial"/>
                <w:sz w:val="22"/>
                <w:szCs w:val="22"/>
              </w:rPr>
              <w:t xml:space="preserve"> but will restrict </w:t>
            </w:r>
            <w:proofErr w:type="gramStart"/>
            <w:r w:rsidRPr="00803FAA">
              <w:rPr>
                <w:rFonts w:cs="Arial"/>
                <w:sz w:val="22"/>
                <w:szCs w:val="22"/>
              </w:rPr>
              <w:t>these type of investments</w:t>
            </w:r>
            <w:proofErr w:type="gramEnd"/>
            <w:r w:rsidRPr="00803FAA">
              <w:rPr>
                <w:rFonts w:cs="Arial"/>
                <w:sz w:val="22"/>
                <w:szCs w:val="22"/>
              </w:rPr>
              <w:t xml:space="preserve"> to </w:t>
            </w:r>
            <w:r w:rsidRPr="00D27E76">
              <w:rPr>
                <w:rFonts w:cs="Arial"/>
                <w:sz w:val="22"/>
                <w:szCs w:val="22"/>
              </w:rPr>
              <w:t>12 months</w:t>
            </w:r>
            <w:r>
              <w:rPr>
                <w:rFonts w:cs="Arial"/>
                <w:sz w:val="22"/>
                <w:szCs w:val="22"/>
              </w:rPr>
              <w:t>.</w:t>
            </w:r>
          </w:p>
        </w:tc>
        <w:tc>
          <w:tcPr>
            <w:tcW w:w="1737" w:type="dxa"/>
          </w:tcPr>
          <w:p w14:paraId="3A741967" w14:textId="77777777" w:rsidR="00CF69B5" w:rsidRPr="00803FAA" w:rsidRDefault="00A724BF" w:rsidP="00C30484">
            <w:pPr>
              <w:spacing w:after="120"/>
              <w:jc w:val="both"/>
              <w:rPr>
                <w:rFonts w:cs="Arial"/>
                <w:iCs/>
                <w:sz w:val="22"/>
                <w:szCs w:val="22"/>
              </w:rPr>
            </w:pPr>
            <w:r w:rsidRPr="0021442C">
              <w:rPr>
                <w:rFonts w:cs="Arial"/>
                <w:iCs/>
                <w:sz w:val="22"/>
                <w:szCs w:val="22"/>
              </w:rPr>
              <w:lastRenderedPageBreak/>
              <w:t>£5m per institution.</w:t>
            </w:r>
          </w:p>
        </w:tc>
      </w:tr>
      <w:tr w:rsidR="002252C6" w14:paraId="74A8CF97" w14:textId="77777777" w:rsidTr="00C30484">
        <w:tc>
          <w:tcPr>
            <w:tcW w:w="285" w:type="dxa"/>
          </w:tcPr>
          <w:p w14:paraId="66FB7C3D" w14:textId="77777777" w:rsidR="00CF69B5" w:rsidRPr="00803FAA" w:rsidRDefault="00CF69B5" w:rsidP="00CF69B5">
            <w:pPr>
              <w:numPr>
                <w:ilvl w:val="1"/>
                <w:numId w:val="12"/>
              </w:numPr>
              <w:spacing w:after="120"/>
              <w:ind w:left="0" w:firstLine="0"/>
              <w:jc w:val="both"/>
              <w:rPr>
                <w:rFonts w:cs="Arial"/>
                <w:sz w:val="22"/>
                <w:szCs w:val="22"/>
              </w:rPr>
            </w:pPr>
          </w:p>
        </w:tc>
        <w:tc>
          <w:tcPr>
            <w:tcW w:w="6280" w:type="dxa"/>
          </w:tcPr>
          <w:p w14:paraId="58DA0C3F" w14:textId="77777777" w:rsidR="00CF69B5" w:rsidRPr="00803FAA" w:rsidRDefault="00A724BF" w:rsidP="00C30484">
            <w:pPr>
              <w:spacing w:after="120"/>
              <w:jc w:val="both"/>
              <w:rPr>
                <w:rFonts w:cs="Arial"/>
                <w:iCs/>
                <w:sz w:val="22"/>
                <w:szCs w:val="22"/>
              </w:rPr>
            </w:pPr>
            <w:r w:rsidRPr="00803FAA">
              <w:rPr>
                <w:rFonts w:cs="Arial"/>
                <w:sz w:val="22"/>
                <w:szCs w:val="22"/>
              </w:rPr>
              <w:t xml:space="preserve">Any </w:t>
            </w:r>
            <w:r w:rsidRPr="00803FAA">
              <w:rPr>
                <w:rFonts w:cs="Arial"/>
                <w:b/>
                <w:sz w:val="22"/>
                <w:szCs w:val="22"/>
              </w:rPr>
              <w:t>bank or building society</w:t>
            </w:r>
            <w:r w:rsidRPr="00803FAA">
              <w:rPr>
                <w:rFonts w:cs="Arial"/>
                <w:sz w:val="22"/>
                <w:szCs w:val="22"/>
              </w:rPr>
              <w:t xml:space="preserve"> that has </w:t>
            </w:r>
            <w:r w:rsidRPr="00803FAA">
              <w:rPr>
                <w:rFonts w:cs="Arial"/>
                <w:iCs/>
                <w:sz w:val="22"/>
                <w:szCs w:val="22"/>
              </w:rPr>
              <w:t>a minimum long term credit rating of</w:t>
            </w:r>
            <w:r w:rsidRPr="00803FAA">
              <w:rPr>
                <w:rFonts w:cs="Arial"/>
                <w:sz w:val="22"/>
                <w:szCs w:val="22"/>
              </w:rPr>
              <w:t xml:space="preserve"> </w:t>
            </w:r>
            <w:r>
              <w:rPr>
                <w:rFonts w:cs="Arial"/>
                <w:sz w:val="22"/>
                <w:szCs w:val="22"/>
              </w:rPr>
              <w:t>A-</w:t>
            </w:r>
            <w:r w:rsidRPr="00803FAA">
              <w:rPr>
                <w:rFonts w:cs="Arial"/>
                <w:sz w:val="22"/>
                <w:szCs w:val="22"/>
              </w:rPr>
              <w:t>, for deposits with a maturity of greater than one year (including forward deals in excess of one year from inception to repayment).</w:t>
            </w:r>
          </w:p>
        </w:tc>
        <w:tc>
          <w:tcPr>
            <w:tcW w:w="1737" w:type="dxa"/>
          </w:tcPr>
          <w:p w14:paraId="4014AFCB" w14:textId="77777777" w:rsidR="00CF69B5" w:rsidRPr="00803FAA" w:rsidRDefault="00A724BF" w:rsidP="00C30484">
            <w:pPr>
              <w:spacing w:after="120"/>
              <w:jc w:val="both"/>
              <w:rPr>
                <w:rFonts w:cs="Arial"/>
                <w:iCs/>
                <w:sz w:val="22"/>
                <w:szCs w:val="22"/>
              </w:rPr>
            </w:pPr>
            <w:r w:rsidRPr="00804285">
              <w:rPr>
                <w:rFonts w:cs="Arial"/>
                <w:spacing w:val="0"/>
                <w:sz w:val="22"/>
                <w:szCs w:val="22"/>
                <w:lang w:eastAsia="en-GB"/>
              </w:rPr>
              <w:t>Maximum of 50% on investments over 1yr</w:t>
            </w:r>
          </w:p>
        </w:tc>
      </w:tr>
      <w:tr w:rsidR="002252C6" w14:paraId="7C395ACF" w14:textId="77777777" w:rsidTr="00C30484">
        <w:tc>
          <w:tcPr>
            <w:tcW w:w="285" w:type="dxa"/>
          </w:tcPr>
          <w:p w14:paraId="0B30D3B0" w14:textId="77777777" w:rsidR="00CF69B5" w:rsidRPr="00803FAA" w:rsidRDefault="00CF69B5" w:rsidP="00CF69B5">
            <w:pPr>
              <w:numPr>
                <w:ilvl w:val="1"/>
                <w:numId w:val="12"/>
              </w:numPr>
              <w:spacing w:after="120"/>
              <w:ind w:left="0" w:firstLine="0"/>
              <w:jc w:val="both"/>
              <w:rPr>
                <w:rFonts w:cs="Arial"/>
                <w:sz w:val="22"/>
                <w:szCs w:val="22"/>
              </w:rPr>
            </w:pPr>
          </w:p>
        </w:tc>
        <w:tc>
          <w:tcPr>
            <w:tcW w:w="6280" w:type="dxa"/>
          </w:tcPr>
          <w:p w14:paraId="6B35B5EA" w14:textId="77777777" w:rsidR="00CF69B5" w:rsidRPr="00803FAA" w:rsidRDefault="00A724BF" w:rsidP="00C30484">
            <w:pPr>
              <w:spacing w:after="120"/>
              <w:jc w:val="both"/>
              <w:rPr>
                <w:rFonts w:cs="Arial"/>
                <w:i/>
                <w:sz w:val="22"/>
                <w:szCs w:val="22"/>
              </w:rPr>
            </w:pPr>
            <w:r w:rsidRPr="00803FAA">
              <w:rPr>
                <w:rFonts w:cs="Arial"/>
                <w:sz w:val="22"/>
                <w:szCs w:val="22"/>
              </w:rPr>
              <w:t xml:space="preserve">Any </w:t>
            </w:r>
            <w:r w:rsidRPr="00803FAA">
              <w:rPr>
                <w:rFonts w:cs="Arial"/>
                <w:b/>
                <w:sz w:val="22"/>
                <w:szCs w:val="22"/>
              </w:rPr>
              <w:t>non-rated subsidiary</w:t>
            </w:r>
            <w:r w:rsidRPr="00803FAA">
              <w:rPr>
                <w:rFonts w:cs="Arial"/>
                <w:sz w:val="22"/>
                <w:szCs w:val="22"/>
              </w:rPr>
              <w:t xml:space="preserve"> of a credit rated institution included in the specified investment category.  These institutions will be included as an investment category subject to</w:t>
            </w:r>
            <w:r>
              <w:rPr>
                <w:rFonts w:cs="Arial"/>
                <w:sz w:val="22"/>
                <w:szCs w:val="22"/>
              </w:rPr>
              <w:t xml:space="preserve"> the parent bank providing an appropriate guarantee and meeting the ratings outlined above.</w:t>
            </w:r>
          </w:p>
        </w:tc>
        <w:tc>
          <w:tcPr>
            <w:tcW w:w="1737" w:type="dxa"/>
          </w:tcPr>
          <w:p w14:paraId="0690CDF1" w14:textId="77777777" w:rsidR="00CF69B5" w:rsidRPr="00803FAA" w:rsidRDefault="00A724BF" w:rsidP="00C30484">
            <w:pPr>
              <w:spacing w:after="120"/>
              <w:jc w:val="both"/>
              <w:rPr>
                <w:rFonts w:cs="Arial"/>
                <w:iCs/>
                <w:sz w:val="22"/>
                <w:szCs w:val="22"/>
              </w:rPr>
            </w:pPr>
            <w:r w:rsidRPr="00804285">
              <w:rPr>
                <w:rFonts w:cs="Arial"/>
                <w:iCs/>
                <w:sz w:val="22"/>
                <w:szCs w:val="22"/>
              </w:rPr>
              <w:t>£5m per institution.</w:t>
            </w:r>
          </w:p>
        </w:tc>
      </w:tr>
      <w:tr w:rsidR="002252C6" w14:paraId="2D8BD5DA" w14:textId="77777777" w:rsidTr="00C30484">
        <w:tc>
          <w:tcPr>
            <w:tcW w:w="285" w:type="dxa"/>
          </w:tcPr>
          <w:p w14:paraId="3F5DA33F" w14:textId="77777777" w:rsidR="00CF69B5" w:rsidRPr="00803FAA" w:rsidRDefault="00CF69B5" w:rsidP="00CF69B5">
            <w:pPr>
              <w:numPr>
                <w:ilvl w:val="1"/>
                <w:numId w:val="12"/>
              </w:numPr>
              <w:spacing w:after="120"/>
              <w:ind w:left="0" w:firstLine="0"/>
              <w:jc w:val="both"/>
              <w:rPr>
                <w:rFonts w:cs="Arial"/>
                <w:sz w:val="22"/>
                <w:szCs w:val="22"/>
              </w:rPr>
            </w:pPr>
          </w:p>
        </w:tc>
        <w:tc>
          <w:tcPr>
            <w:tcW w:w="6280" w:type="dxa"/>
          </w:tcPr>
          <w:p w14:paraId="064C7F08" w14:textId="77777777" w:rsidR="00CF69B5" w:rsidRPr="00803FAA" w:rsidRDefault="00A724BF" w:rsidP="00C30484">
            <w:pPr>
              <w:spacing w:after="120"/>
              <w:jc w:val="both"/>
              <w:rPr>
                <w:rFonts w:cs="Arial"/>
                <w:sz w:val="22"/>
                <w:szCs w:val="22"/>
              </w:rPr>
            </w:pPr>
            <w:r w:rsidRPr="00803FAA">
              <w:rPr>
                <w:rFonts w:cs="Arial"/>
                <w:b/>
                <w:sz w:val="22"/>
                <w:szCs w:val="22"/>
              </w:rPr>
              <w:t xml:space="preserve">Share </w:t>
            </w:r>
            <w:r>
              <w:rPr>
                <w:rFonts w:cs="Arial"/>
                <w:b/>
                <w:sz w:val="22"/>
                <w:szCs w:val="22"/>
              </w:rPr>
              <w:t xml:space="preserve">and loan </w:t>
            </w:r>
            <w:r w:rsidRPr="00803FAA">
              <w:rPr>
                <w:rFonts w:cs="Arial"/>
                <w:b/>
                <w:sz w:val="22"/>
                <w:szCs w:val="22"/>
              </w:rPr>
              <w:t xml:space="preserve">capital </w:t>
            </w:r>
            <w:r w:rsidRPr="00803FAA">
              <w:rPr>
                <w:rFonts w:cs="Arial"/>
                <w:sz w:val="22"/>
                <w:szCs w:val="22"/>
              </w:rPr>
              <w:t xml:space="preserve">in a body corporate – The use of these instruments will be deemed to be capital expenditure, and as such will be an application (spending) of capital resources.  Revenue resources will not be invested in corporate bodies. See note 1 below. </w:t>
            </w:r>
          </w:p>
        </w:tc>
        <w:tc>
          <w:tcPr>
            <w:tcW w:w="1737" w:type="dxa"/>
          </w:tcPr>
          <w:p w14:paraId="3FB212E6" w14:textId="77777777" w:rsidR="00CF69B5" w:rsidRPr="00803FAA" w:rsidRDefault="00A724BF" w:rsidP="00C30484">
            <w:pPr>
              <w:spacing w:after="120"/>
              <w:jc w:val="both"/>
              <w:rPr>
                <w:rFonts w:cs="Arial"/>
                <w:iCs/>
                <w:sz w:val="22"/>
                <w:szCs w:val="22"/>
              </w:rPr>
            </w:pPr>
            <w:r>
              <w:rPr>
                <w:rFonts w:cs="Arial"/>
                <w:iCs/>
                <w:spacing w:val="0"/>
                <w:sz w:val="22"/>
                <w:szCs w:val="22"/>
                <w:lang w:eastAsia="en-GB"/>
              </w:rPr>
              <w:t>Maximum £</w:t>
            </w:r>
            <w:r w:rsidRPr="001F3655">
              <w:rPr>
                <w:rFonts w:cs="Arial"/>
                <w:iCs/>
                <w:spacing w:val="0"/>
                <w:sz w:val="22"/>
                <w:szCs w:val="22"/>
                <w:lang w:eastAsia="en-GB"/>
              </w:rPr>
              <w:t>5m per institution, subject to minimum rating of AA- (long term)</w:t>
            </w:r>
            <w:r>
              <w:rPr>
                <w:rFonts w:cs="Arial"/>
                <w:iCs/>
                <w:spacing w:val="0"/>
                <w:sz w:val="22"/>
                <w:szCs w:val="22"/>
                <w:lang w:eastAsia="en-GB"/>
              </w:rPr>
              <w:t>. The exception is Epsom &amp; Ewell Property Investment Company Limited (EEPIC) - Council has separately authorised share capital and loans to EEPIC.</w:t>
            </w:r>
          </w:p>
        </w:tc>
      </w:tr>
    </w:tbl>
    <w:p w14:paraId="6897CCEE" w14:textId="77777777" w:rsidR="00CF69B5" w:rsidRPr="00416DEC" w:rsidRDefault="00CF69B5" w:rsidP="00CF69B5">
      <w:pPr>
        <w:jc w:val="both"/>
        <w:rPr>
          <w:rFonts w:cs="Arial"/>
          <w:iCs/>
          <w:sz w:val="22"/>
          <w:szCs w:val="22"/>
        </w:rPr>
      </w:pPr>
    </w:p>
    <w:p w14:paraId="229DC445" w14:textId="77777777" w:rsidR="00CF69B5" w:rsidRPr="00696A5D" w:rsidRDefault="00A724BF" w:rsidP="00CF69B5">
      <w:pPr>
        <w:jc w:val="both"/>
        <w:rPr>
          <w:rFonts w:cs="Arial"/>
        </w:rPr>
      </w:pPr>
      <w:r w:rsidRPr="00696A5D">
        <w:rPr>
          <w:rFonts w:cs="Arial"/>
        </w:rPr>
        <w:t>NOTE 1.  This Authority will seek further advice on the appropriateness and associated risks with investments in these categories.</w:t>
      </w:r>
    </w:p>
    <w:p w14:paraId="197F3D92" w14:textId="77777777" w:rsidR="00CF69B5" w:rsidRPr="00696A5D" w:rsidRDefault="00CF69B5" w:rsidP="00CF69B5">
      <w:pPr>
        <w:jc w:val="both"/>
        <w:rPr>
          <w:rFonts w:cs="Arial"/>
        </w:rPr>
      </w:pPr>
    </w:p>
    <w:p w14:paraId="4169CDD9" w14:textId="77777777" w:rsidR="00CF69B5" w:rsidRPr="00696A5D" w:rsidRDefault="00CF69B5" w:rsidP="00CF69B5">
      <w:pPr>
        <w:pStyle w:val="BodyText"/>
        <w:jc w:val="both"/>
        <w:rPr>
          <w:rFonts w:ascii="Arial" w:hAnsi="Arial" w:cs="Arial"/>
          <w:b/>
          <w:bCs/>
          <w:sz w:val="20"/>
          <w:szCs w:val="20"/>
          <w:lang w:val="en-GB"/>
        </w:rPr>
      </w:pPr>
    </w:p>
    <w:p w14:paraId="130AE66F" w14:textId="77777777" w:rsidR="00CF69B5" w:rsidRPr="00696A5D" w:rsidRDefault="00A724BF" w:rsidP="00CF69B5">
      <w:pPr>
        <w:pStyle w:val="BodyText"/>
        <w:jc w:val="both"/>
        <w:rPr>
          <w:rFonts w:ascii="Arial" w:hAnsi="Arial" w:cs="Arial"/>
          <w:sz w:val="20"/>
          <w:szCs w:val="20"/>
          <w:lang w:val="en-GB"/>
        </w:rPr>
      </w:pPr>
      <w:r w:rsidRPr="00696A5D">
        <w:rPr>
          <w:rFonts w:ascii="Arial" w:hAnsi="Arial" w:cs="Arial"/>
          <w:b/>
          <w:bCs/>
          <w:sz w:val="20"/>
          <w:szCs w:val="20"/>
          <w:lang w:val="en-GB"/>
        </w:rPr>
        <w:t>The monitoring of investment counterparties</w:t>
      </w:r>
      <w:r w:rsidRPr="00696A5D">
        <w:rPr>
          <w:rFonts w:ascii="Arial" w:hAnsi="Arial" w:cs="Arial"/>
          <w:sz w:val="20"/>
          <w:szCs w:val="20"/>
          <w:lang w:val="en-GB"/>
        </w:rPr>
        <w:t xml:space="preserve"> - The credit rating of counterparties will be monitored regularly.  The Council receives credit rating information (changes, rating watches and rating outlooks) from Link Asset Services as and when ratings change, and counterparties are checked promptly. On occasion ratings may be downgraded when an investment has already been made.  The criteria used are such that a minor downgrading should not affect the full receipt of the principal and interest.  Any counterparty failing to meet the criteria will be removed from the list immediately by the Chief Finance Officer, and if required new counterparties which meet the criteria will be added to the list.</w:t>
      </w:r>
    </w:p>
    <w:p w14:paraId="2436F9AE" w14:textId="77777777" w:rsidR="00CF69B5" w:rsidRPr="00696A5D" w:rsidRDefault="00CF69B5" w:rsidP="00CF69B5">
      <w:pPr>
        <w:pStyle w:val="BodyText"/>
        <w:jc w:val="both"/>
        <w:rPr>
          <w:rFonts w:ascii="Arial" w:hAnsi="Arial" w:cs="Arial"/>
          <w:sz w:val="20"/>
          <w:szCs w:val="20"/>
          <w:lang w:val="en-GB"/>
        </w:rPr>
      </w:pPr>
    </w:p>
    <w:p w14:paraId="6C155B61" w14:textId="77777777" w:rsidR="00CF69B5" w:rsidRPr="00696A5D" w:rsidRDefault="00CF69B5" w:rsidP="00CF69B5">
      <w:pPr>
        <w:pStyle w:val="BodyText"/>
        <w:jc w:val="both"/>
        <w:rPr>
          <w:rFonts w:ascii="Arial" w:hAnsi="Arial" w:cs="Arial"/>
          <w:sz w:val="20"/>
          <w:szCs w:val="20"/>
          <w:lang w:val="en-GB"/>
        </w:rPr>
      </w:pPr>
    </w:p>
    <w:p w14:paraId="0A5F89E8" w14:textId="77777777" w:rsidR="00CF69B5" w:rsidRPr="00696A5D" w:rsidRDefault="00A724BF" w:rsidP="00CF69B5">
      <w:pPr>
        <w:pStyle w:val="BodyText"/>
        <w:jc w:val="both"/>
        <w:rPr>
          <w:rFonts w:ascii="Arial" w:hAnsi="Arial" w:cs="Arial"/>
          <w:sz w:val="20"/>
          <w:szCs w:val="20"/>
          <w:lang w:val="en-GB"/>
        </w:rPr>
      </w:pPr>
      <w:r w:rsidRPr="00696A5D">
        <w:rPr>
          <w:rFonts w:ascii="Arial" w:hAnsi="Arial" w:cs="Arial"/>
          <w:b/>
          <w:bCs/>
          <w:sz w:val="20"/>
          <w:szCs w:val="20"/>
          <w:lang w:val="en-GB"/>
        </w:rPr>
        <w:t>Use of external fund managers</w:t>
      </w:r>
      <w:r w:rsidRPr="00696A5D">
        <w:rPr>
          <w:rFonts w:ascii="Arial" w:hAnsi="Arial" w:cs="Arial"/>
          <w:sz w:val="20"/>
          <w:szCs w:val="20"/>
          <w:lang w:val="en-GB"/>
        </w:rPr>
        <w:t xml:space="preserve"> – It is the Council’s policy to use external fund managers for part of its investment portfolio</w:t>
      </w:r>
      <w:r w:rsidR="00ED3C83" w:rsidRPr="00696A5D">
        <w:rPr>
          <w:rFonts w:ascii="Arial" w:hAnsi="Arial" w:cs="Arial"/>
          <w:sz w:val="20"/>
          <w:szCs w:val="20"/>
          <w:lang w:val="en-GB"/>
        </w:rPr>
        <w:t xml:space="preserve"> when required</w:t>
      </w:r>
      <w:r w:rsidRPr="00696A5D">
        <w:rPr>
          <w:rFonts w:ascii="Arial" w:hAnsi="Arial" w:cs="Arial"/>
          <w:sz w:val="20"/>
          <w:szCs w:val="20"/>
          <w:lang w:val="en-GB"/>
        </w:rPr>
        <w:t xml:space="preserve">.  The fund managers will use both specified and non-specified investment </w:t>
      </w:r>
      <w:r w:rsidR="005676E5" w:rsidRPr="00696A5D">
        <w:rPr>
          <w:rFonts w:ascii="Arial" w:hAnsi="Arial" w:cs="Arial"/>
          <w:sz w:val="20"/>
          <w:szCs w:val="20"/>
          <w:lang w:val="en-GB"/>
        </w:rPr>
        <w:t>categories and</w:t>
      </w:r>
      <w:r w:rsidRPr="00696A5D">
        <w:rPr>
          <w:rFonts w:ascii="Arial" w:hAnsi="Arial" w:cs="Arial"/>
          <w:sz w:val="20"/>
          <w:szCs w:val="20"/>
          <w:lang w:val="en-GB"/>
        </w:rPr>
        <w:t xml:space="preserve"> are contractually committed to keep to the Council’s annual investment strategy. </w:t>
      </w:r>
    </w:p>
    <w:p w14:paraId="0E3A51E4" w14:textId="77777777" w:rsidR="00CF69B5" w:rsidRPr="00696A5D" w:rsidRDefault="00CF69B5" w:rsidP="00CF69B5">
      <w:pPr>
        <w:pStyle w:val="BodyText"/>
        <w:jc w:val="both"/>
        <w:rPr>
          <w:rFonts w:ascii="Arial" w:hAnsi="Arial" w:cs="Arial"/>
          <w:sz w:val="20"/>
          <w:szCs w:val="20"/>
          <w:lang w:val="en-GB"/>
        </w:rPr>
      </w:pPr>
    </w:p>
    <w:p w14:paraId="6E644BAD" w14:textId="77777777" w:rsidR="00CF69B5" w:rsidRPr="00696A5D" w:rsidRDefault="00A724BF" w:rsidP="00CF69B5">
      <w:pPr>
        <w:autoSpaceDE w:val="0"/>
        <w:autoSpaceDN w:val="0"/>
        <w:adjustRightInd w:val="0"/>
        <w:jc w:val="both"/>
        <w:rPr>
          <w:rFonts w:cs="Arial"/>
          <w:i/>
          <w:iCs/>
          <w:color w:val="0000FF"/>
        </w:rPr>
      </w:pPr>
      <w:r w:rsidRPr="00696A5D">
        <w:rPr>
          <w:rFonts w:cs="Arial"/>
          <w:lang w:eastAsia="en-GB"/>
        </w:rPr>
        <w:t>The Council fully appreciates the importance of monitoring the activity and resultant performance of its appointed external fund manager. In order to aid this assessment, the Council is provided with a suite of regular reporting from its manager.</w:t>
      </w:r>
    </w:p>
    <w:p w14:paraId="18B8205D" w14:textId="77777777" w:rsidR="00CF69B5" w:rsidRPr="00696A5D" w:rsidRDefault="00A724BF" w:rsidP="009F4CF9">
      <w:pPr>
        <w:pStyle w:val="Subheading"/>
        <w:rPr>
          <w:sz w:val="20"/>
          <w:szCs w:val="20"/>
          <w:lang w:eastAsia="en-GB"/>
        </w:rPr>
      </w:pPr>
      <w:r w:rsidRPr="00696A5D">
        <w:rPr>
          <w:sz w:val="20"/>
          <w:szCs w:val="20"/>
          <w:lang w:eastAsia="en-GB"/>
        </w:rPr>
        <w:lastRenderedPageBreak/>
        <w:t>TMP2 Performance measurement</w:t>
      </w:r>
    </w:p>
    <w:p w14:paraId="6ABE54A4" w14:textId="77777777" w:rsidR="00CF69B5" w:rsidRPr="00696A5D" w:rsidRDefault="00CF69B5" w:rsidP="00CF69B5">
      <w:pPr>
        <w:rPr>
          <w:rFonts w:cs="Arial"/>
          <w:b/>
          <w:spacing w:val="0"/>
          <w:lang w:eastAsia="en-GB"/>
        </w:rPr>
      </w:pPr>
    </w:p>
    <w:p w14:paraId="22C21503" w14:textId="77777777" w:rsidR="00CF69B5" w:rsidRPr="00696A5D" w:rsidRDefault="00A724BF" w:rsidP="00CF69B5">
      <w:pPr>
        <w:rPr>
          <w:rFonts w:cs="Arial"/>
          <w:spacing w:val="0"/>
          <w:lang w:eastAsia="en-GB"/>
        </w:rPr>
      </w:pPr>
      <w:r w:rsidRPr="00696A5D">
        <w:rPr>
          <w:rFonts w:cs="Arial"/>
          <w:spacing w:val="0"/>
          <w:lang w:eastAsia="en-GB"/>
        </w:rPr>
        <w:t>The Council has a number of approaches to evaluating treasury management decisions: -</w:t>
      </w:r>
    </w:p>
    <w:p w14:paraId="0AACCA1E" w14:textId="77777777" w:rsidR="00CF69B5" w:rsidRPr="00696A5D" w:rsidRDefault="00A724BF" w:rsidP="00B279C0">
      <w:pPr>
        <w:numPr>
          <w:ilvl w:val="0"/>
          <w:numId w:val="25"/>
        </w:numPr>
        <w:spacing w:before="120"/>
        <w:ind w:left="1077" w:hanging="357"/>
        <w:rPr>
          <w:rFonts w:cs="Arial"/>
          <w:spacing w:val="0"/>
          <w:lang w:eastAsia="en-GB"/>
        </w:rPr>
      </w:pPr>
      <w:r w:rsidRPr="00696A5D">
        <w:rPr>
          <w:rFonts w:cs="Arial"/>
          <w:spacing w:val="0"/>
          <w:lang w:eastAsia="en-GB"/>
        </w:rPr>
        <w:t>Monthly reviews carried out by the treasury management team</w:t>
      </w:r>
      <w:r w:rsidR="00ED3C83" w:rsidRPr="00696A5D">
        <w:rPr>
          <w:rFonts w:cs="Arial"/>
          <w:spacing w:val="0"/>
          <w:lang w:eastAsia="en-GB"/>
        </w:rPr>
        <w:t>.</w:t>
      </w:r>
    </w:p>
    <w:p w14:paraId="21D292F4" w14:textId="77777777" w:rsidR="00CF69B5" w:rsidRPr="00696A5D" w:rsidRDefault="00CF69B5" w:rsidP="00CF69B5">
      <w:pPr>
        <w:ind w:left="720"/>
        <w:rPr>
          <w:rFonts w:cs="Arial"/>
          <w:spacing w:val="0"/>
          <w:lang w:eastAsia="en-GB"/>
        </w:rPr>
      </w:pPr>
    </w:p>
    <w:p w14:paraId="265C5B02" w14:textId="77777777" w:rsidR="00CF69B5" w:rsidRPr="00696A5D" w:rsidRDefault="00A724BF" w:rsidP="00B279C0">
      <w:pPr>
        <w:numPr>
          <w:ilvl w:val="0"/>
          <w:numId w:val="25"/>
        </w:numPr>
        <w:rPr>
          <w:rFonts w:cs="Arial"/>
          <w:spacing w:val="0"/>
          <w:lang w:eastAsia="en-GB"/>
        </w:rPr>
      </w:pPr>
      <w:r w:rsidRPr="00696A5D">
        <w:rPr>
          <w:rFonts w:cs="Arial"/>
          <w:spacing w:val="0"/>
          <w:lang w:eastAsia="en-GB"/>
        </w:rPr>
        <w:t>Reviews with our treasury management consultants &amp; external fund manager</w:t>
      </w:r>
      <w:r w:rsidR="00ED3C83" w:rsidRPr="00696A5D">
        <w:rPr>
          <w:rFonts w:cs="Arial"/>
          <w:spacing w:val="0"/>
          <w:lang w:eastAsia="en-GB"/>
        </w:rPr>
        <w:t>.</w:t>
      </w:r>
    </w:p>
    <w:p w14:paraId="401C1054" w14:textId="77777777" w:rsidR="00CF69B5" w:rsidRPr="00696A5D" w:rsidRDefault="00CF69B5" w:rsidP="00CF69B5">
      <w:pPr>
        <w:ind w:left="720"/>
        <w:rPr>
          <w:rFonts w:cs="Arial"/>
          <w:spacing w:val="0"/>
          <w:lang w:eastAsia="en-GB"/>
        </w:rPr>
      </w:pPr>
    </w:p>
    <w:p w14:paraId="0FAB2DA0" w14:textId="77777777" w:rsidR="00CF69B5" w:rsidRPr="00696A5D" w:rsidRDefault="00A724BF" w:rsidP="00B279C0">
      <w:pPr>
        <w:numPr>
          <w:ilvl w:val="0"/>
          <w:numId w:val="25"/>
        </w:numPr>
        <w:rPr>
          <w:rFonts w:cs="Arial"/>
          <w:spacing w:val="0"/>
          <w:lang w:eastAsia="en-GB"/>
        </w:rPr>
      </w:pPr>
      <w:r w:rsidRPr="00696A5D">
        <w:rPr>
          <w:rFonts w:cs="Arial"/>
          <w:spacing w:val="0"/>
          <w:lang w:eastAsia="en-GB"/>
        </w:rPr>
        <w:t xml:space="preserve">Annual review after the end of the year as reported </w:t>
      </w:r>
      <w:r w:rsidR="005676E5" w:rsidRPr="00696A5D">
        <w:rPr>
          <w:rFonts w:cs="Arial"/>
          <w:spacing w:val="0"/>
          <w:lang w:eastAsia="en-GB"/>
        </w:rPr>
        <w:t>formerly to Audit &amp; Scrutiny Committee.</w:t>
      </w:r>
    </w:p>
    <w:p w14:paraId="35021510" w14:textId="77777777" w:rsidR="00CF69B5" w:rsidRPr="00696A5D" w:rsidRDefault="00CF69B5" w:rsidP="00CF69B5">
      <w:pPr>
        <w:ind w:left="720"/>
        <w:rPr>
          <w:rFonts w:cs="Arial"/>
          <w:spacing w:val="0"/>
          <w:lang w:eastAsia="en-GB"/>
        </w:rPr>
      </w:pPr>
    </w:p>
    <w:p w14:paraId="2BEEDAA9" w14:textId="77777777" w:rsidR="00CF69B5" w:rsidRPr="00696A5D" w:rsidRDefault="00A724BF" w:rsidP="00B279C0">
      <w:pPr>
        <w:numPr>
          <w:ilvl w:val="0"/>
          <w:numId w:val="25"/>
        </w:numPr>
        <w:rPr>
          <w:rFonts w:cs="Arial"/>
          <w:spacing w:val="0"/>
          <w:lang w:eastAsia="en-GB"/>
        </w:rPr>
      </w:pPr>
      <w:r w:rsidRPr="00696A5D">
        <w:rPr>
          <w:rFonts w:cs="Arial"/>
          <w:spacing w:val="0"/>
          <w:lang w:eastAsia="en-GB"/>
        </w:rPr>
        <w:t>Half yearly monitoring report</w:t>
      </w:r>
      <w:r w:rsidR="005676E5" w:rsidRPr="00696A5D">
        <w:rPr>
          <w:rFonts w:cs="Arial"/>
          <w:spacing w:val="0"/>
          <w:lang w:eastAsia="en-GB"/>
        </w:rPr>
        <w:t>ed to Audit &amp; Scrutiny Committee.</w:t>
      </w:r>
    </w:p>
    <w:p w14:paraId="054742B1" w14:textId="77777777" w:rsidR="00CF69B5" w:rsidRPr="00696A5D" w:rsidRDefault="00CF69B5" w:rsidP="00CF69B5">
      <w:pPr>
        <w:ind w:left="720"/>
        <w:rPr>
          <w:rFonts w:cs="Arial"/>
          <w:spacing w:val="0"/>
          <w:lang w:eastAsia="en-GB"/>
        </w:rPr>
      </w:pPr>
    </w:p>
    <w:p w14:paraId="19D623BF" w14:textId="77777777" w:rsidR="00CF69B5" w:rsidRPr="00696A5D" w:rsidRDefault="00A724BF" w:rsidP="00B279C0">
      <w:pPr>
        <w:numPr>
          <w:ilvl w:val="0"/>
          <w:numId w:val="25"/>
        </w:numPr>
        <w:rPr>
          <w:rFonts w:cs="Arial"/>
          <w:spacing w:val="0"/>
          <w:lang w:eastAsia="en-GB"/>
        </w:rPr>
      </w:pPr>
      <w:r w:rsidRPr="00696A5D">
        <w:rPr>
          <w:rFonts w:cs="Arial"/>
          <w:spacing w:val="0"/>
          <w:lang w:eastAsia="en-GB"/>
        </w:rPr>
        <w:t>Quarterly budget monitoring reports</w:t>
      </w:r>
      <w:r w:rsidR="005676E5" w:rsidRPr="00696A5D">
        <w:rPr>
          <w:rFonts w:cs="Arial"/>
          <w:spacing w:val="0"/>
          <w:lang w:eastAsia="en-GB"/>
        </w:rPr>
        <w:t xml:space="preserve"> to Audit &amp; Scrutiny Committee.</w:t>
      </w:r>
    </w:p>
    <w:p w14:paraId="472606A4" w14:textId="77777777" w:rsidR="00CF69B5" w:rsidRPr="00696A5D" w:rsidRDefault="00CF69B5" w:rsidP="00CF69B5">
      <w:pPr>
        <w:ind w:left="720"/>
        <w:rPr>
          <w:rFonts w:cs="Arial"/>
          <w:spacing w:val="0"/>
          <w:lang w:eastAsia="en-GB"/>
        </w:rPr>
      </w:pPr>
    </w:p>
    <w:p w14:paraId="18D99A85" w14:textId="77777777" w:rsidR="00CF69B5" w:rsidRPr="00696A5D" w:rsidRDefault="00A724BF" w:rsidP="00CF69B5">
      <w:pPr>
        <w:rPr>
          <w:rFonts w:cs="Arial"/>
          <w:spacing w:val="0"/>
          <w:lang w:eastAsia="en-GB"/>
        </w:rPr>
      </w:pPr>
      <w:r w:rsidRPr="00696A5D">
        <w:rPr>
          <w:rFonts w:cs="Arial"/>
          <w:spacing w:val="0"/>
          <w:lang w:eastAsia="en-GB"/>
        </w:rPr>
        <w:t>The treasury management team holds reviews with our consultants every 6 months to review the performance of the investment and debt portfolios.</w:t>
      </w:r>
    </w:p>
    <w:p w14:paraId="6F09AB18" w14:textId="77777777" w:rsidR="00CF69B5" w:rsidRPr="00696A5D" w:rsidRDefault="00CF69B5" w:rsidP="00CF69B5">
      <w:pPr>
        <w:ind w:left="720"/>
        <w:rPr>
          <w:rFonts w:cs="Arial"/>
          <w:spacing w:val="0"/>
          <w:lang w:eastAsia="en-GB"/>
        </w:rPr>
      </w:pPr>
    </w:p>
    <w:p w14:paraId="60F59C32" w14:textId="77777777" w:rsidR="00CF69B5" w:rsidRPr="00696A5D" w:rsidRDefault="00A724BF" w:rsidP="00CF69B5">
      <w:pPr>
        <w:rPr>
          <w:rFonts w:cs="Arial"/>
          <w:spacing w:val="0"/>
          <w:lang w:eastAsia="en-GB"/>
        </w:rPr>
      </w:pPr>
      <w:r w:rsidRPr="00696A5D">
        <w:rPr>
          <w:rFonts w:cs="Arial"/>
          <w:spacing w:val="0"/>
          <w:lang w:eastAsia="en-GB"/>
        </w:rPr>
        <w:t xml:space="preserve">An Annual Treasury Report is submitted to </w:t>
      </w:r>
      <w:r w:rsidR="00ED3C83" w:rsidRPr="00696A5D">
        <w:rPr>
          <w:rFonts w:cs="Arial"/>
          <w:spacing w:val="0"/>
          <w:lang w:eastAsia="en-GB"/>
        </w:rPr>
        <w:t>Audit &amp; Scrutiny</w:t>
      </w:r>
      <w:r w:rsidRPr="00696A5D">
        <w:rPr>
          <w:rFonts w:cs="Arial"/>
          <w:spacing w:val="0"/>
          <w:lang w:eastAsia="en-GB"/>
        </w:rPr>
        <w:t xml:space="preserve"> each year after the close of the financial year, which reviews the performance of the investment portfolio. This report contains the following: -</w:t>
      </w:r>
    </w:p>
    <w:p w14:paraId="49761A55" w14:textId="77777777" w:rsidR="00CF69B5" w:rsidRPr="00696A5D" w:rsidRDefault="00CF69B5" w:rsidP="00CF69B5">
      <w:pPr>
        <w:ind w:left="720"/>
        <w:rPr>
          <w:rFonts w:cs="Arial"/>
          <w:spacing w:val="0"/>
          <w:lang w:eastAsia="en-GB"/>
        </w:rPr>
      </w:pPr>
    </w:p>
    <w:p w14:paraId="52DD057F" w14:textId="77777777" w:rsidR="00CF69B5" w:rsidRPr="00696A5D" w:rsidRDefault="00A724BF" w:rsidP="00B279C0">
      <w:pPr>
        <w:numPr>
          <w:ilvl w:val="0"/>
          <w:numId w:val="26"/>
        </w:numPr>
        <w:tabs>
          <w:tab w:val="num" w:pos="1701"/>
        </w:tabs>
        <w:ind w:left="1701" w:hanging="425"/>
        <w:rPr>
          <w:rFonts w:cs="Arial"/>
          <w:spacing w:val="0"/>
          <w:lang w:eastAsia="en-GB"/>
        </w:rPr>
      </w:pPr>
      <w:r w:rsidRPr="00696A5D">
        <w:rPr>
          <w:rFonts w:cs="Arial"/>
          <w:spacing w:val="0"/>
          <w:lang w:eastAsia="en-GB"/>
        </w:rPr>
        <w:t>average investments held during the financial year and average interest rates</w:t>
      </w:r>
    </w:p>
    <w:p w14:paraId="0428B215" w14:textId="77777777" w:rsidR="00CF69B5" w:rsidRPr="00696A5D" w:rsidRDefault="00CF69B5" w:rsidP="00CF69B5">
      <w:pPr>
        <w:tabs>
          <w:tab w:val="num" w:pos="1701"/>
        </w:tabs>
        <w:ind w:left="1276"/>
        <w:rPr>
          <w:rFonts w:cs="Arial"/>
          <w:spacing w:val="0"/>
          <w:lang w:eastAsia="en-GB"/>
        </w:rPr>
      </w:pPr>
    </w:p>
    <w:p w14:paraId="2844740C" w14:textId="77777777" w:rsidR="00CF69B5" w:rsidRPr="00696A5D" w:rsidRDefault="00A724BF" w:rsidP="00B279C0">
      <w:pPr>
        <w:numPr>
          <w:ilvl w:val="0"/>
          <w:numId w:val="26"/>
        </w:numPr>
        <w:tabs>
          <w:tab w:val="num" w:pos="1701"/>
        </w:tabs>
        <w:ind w:left="1701" w:hanging="425"/>
        <w:rPr>
          <w:rFonts w:cs="Arial"/>
          <w:spacing w:val="0"/>
          <w:lang w:eastAsia="en-GB"/>
        </w:rPr>
      </w:pPr>
      <w:r w:rsidRPr="00696A5D">
        <w:rPr>
          <w:rFonts w:cs="Arial"/>
          <w:spacing w:val="0"/>
          <w:lang w:eastAsia="en-GB"/>
        </w:rPr>
        <w:t>investment strategy for the year compared to actual strategy</w:t>
      </w:r>
    </w:p>
    <w:p w14:paraId="6524AE79" w14:textId="77777777" w:rsidR="00CF69B5" w:rsidRPr="00696A5D" w:rsidRDefault="00CF69B5" w:rsidP="00CF69B5">
      <w:pPr>
        <w:tabs>
          <w:tab w:val="num" w:pos="1701"/>
        </w:tabs>
        <w:ind w:left="1276"/>
        <w:rPr>
          <w:rFonts w:cs="Arial"/>
          <w:spacing w:val="0"/>
          <w:lang w:eastAsia="en-GB"/>
        </w:rPr>
      </w:pPr>
    </w:p>
    <w:p w14:paraId="4B46480D" w14:textId="77777777" w:rsidR="00CF69B5" w:rsidRPr="00696A5D" w:rsidRDefault="00A724BF" w:rsidP="00B279C0">
      <w:pPr>
        <w:numPr>
          <w:ilvl w:val="0"/>
          <w:numId w:val="26"/>
        </w:numPr>
        <w:tabs>
          <w:tab w:val="num" w:pos="1701"/>
        </w:tabs>
        <w:ind w:left="1701" w:hanging="425"/>
        <w:rPr>
          <w:rFonts w:cs="Arial"/>
          <w:spacing w:val="0"/>
          <w:lang w:eastAsia="en-GB"/>
        </w:rPr>
      </w:pPr>
      <w:r w:rsidRPr="00696A5D">
        <w:rPr>
          <w:rFonts w:cs="Arial"/>
          <w:spacing w:val="0"/>
          <w:lang w:eastAsia="en-GB"/>
        </w:rPr>
        <w:t>explanations for variance between original strategies and actual</w:t>
      </w:r>
    </w:p>
    <w:p w14:paraId="6246EA5F" w14:textId="77777777" w:rsidR="00CF69B5" w:rsidRPr="00696A5D" w:rsidRDefault="00CF69B5" w:rsidP="00CF69B5">
      <w:pPr>
        <w:tabs>
          <w:tab w:val="num" w:pos="1701"/>
        </w:tabs>
        <w:ind w:left="1276"/>
        <w:rPr>
          <w:rFonts w:cs="Arial"/>
          <w:spacing w:val="0"/>
          <w:lang w:eastAsia="en-GB"/>
        </w:rPr>
      </w:pPr>
    </w:p>
    <w:p w14:paraId="559A1B92" w14:textId="77777777" w:rsidR="00CF69B5" w:rsidRPr="00696A5D" w:rsidRDefault="00A724BF" w:rsidP="00B279C0">
      <w:pPr>
        <w:numPr>
          <w:ilvl w:val="0"/>
          <w:numId w:val="26"/>
        </w:numPr>
        <w:tabs>
          <w:tab w:val="num" w:pos="1701"/>
        </w:tabs>
        <w:ind w:left="1701" w:hanging="425"/>
        <w:rPr>
          <w:rFonts w:cs="Arial"/>
          <w:spacing w:val="0"/>
          <w:lang w:eastAsia="en-GB"/>
        </w:rPr>
      </w:pPr>
      <w:r w:rsidRPr="00696A5D">
        <w:rPr>
          <w:rFonts w:cs="Arial"/>
          <w:spacing w:val="0"/>
          <w:lang w:eastAsia="en-GB"/>
        </w:rPr>
        <w:t xml:space="preserve">comparison of return on investments to the investment benchmark </w:t>
      </w:r>
    </w:p>
    <w:p w14:paraId="1420A0CF" w14:textId="77777777" w:rsidR="00CF69B5" w:rsidRPr="00696A5D" w:rsidRDefault="00CF69B5" w:rsidP="00CF69B5">
      <w:pPr>
        <w:tabs>
          <w:tab w:val="num" w:pos="1701"/>
        </w:tabs>
        <w:ind w:left="1276"/>
        <w:rPr>
          <w:rFonts w:cs="Arial"/>
          <w:spacing w:val="0"/>
          <w:lang w:eastAsia="en-GB"/>
        </w:rPr>
      </w:pPr>
    </w:p>
    <w:p w14:paraId="42C5E6D6" w14:textId="77777777" w:rsidR="00CF69B5" w:rsidRPr="00696A5D" w:rsidRDefault="00A724BF" w:rsidP="00B279C0">
      <w:pPr>
        <w:numPr>
          <w:ilvl w:val="0"/>
          <w:numId w:val="26"/>
        </w:numPr>
        <w:tabs>
          <w:tab w:val="num" w:pos="1701"/>
        </w:tabs>
        <w:ind w:left="1701" w:hanging="425"/>
        <w:rPr>
          <w:rFonts w:cs="Arial"/>
          <w:spacing w:val="0"/>
          <w:lang w:eastAsia="en-GB"/>
        </w:rPr>
      </w:pPr>
      <w:r w:rsidRPr="00696A5D">
        <w:rPr>
          <w:rFonts w:cs="Arial"/>
          <w:spacing w:val="0"/>
          <w:lang w:eastAsia="en-GB"/>
        </w:rPr>
        <w:t>compliance with Prudential and Treasury Indicators</w:t>
      </w:r>
    </w:p>
    <w:p w14:paraId="3D357E14" w14:textId="77777777" w:rsidR="00CF69B5" w:rsidRPr="00696A5D" w:rsidRDefault="00CF69B5" w:rsidP="00CF69B5">
      <w:pPr>
        <w:ind w:left="720"/>
        <w:rPr>
          <w:rFonts w:cs="Arial"/>
          <w:spacing w:val="0"/>
          <w:lang w:eastAsia="en-GB"/>
        </w:rPr>
      </w:pPr>
    </w:p>
    <w:p w14:paraId="4832930B" w14:textId="77777777" w:rsidR="00CF69B5" w:rsidRPr="00696A5D" w:rsidRDefault="00A724BF" w:rsidP="00CF69B5">
      <w:pPr>
        <w:rPr>
          <w:rFonts w:cs="Arial"/>
          <w:spacing w:val="0"/>
          <w:lang w:eastAsia="en-GB"/>
        </w:rPr>
      </w:pPr>
      <w:r w:rsidRPr="00696A5D">
        <w:rPr>
          <w:rFonts w:cs="Arial"/>
          <w:spacing w:val="0"/>
          <w:lang w:eastAsia="en-GB"/>
        </w:rPr>
        <w:t>The performance of investment earnings will be measured against the following benchmarks: -</w:t>
      </w:r>
    </w:p>
    <w:p w14:paraId="573FD54D" w14:textId="77777777" w:rsidR="00CF69B5" w:rsidRPr="00696A5D" w:rsidRDefault="00CF69B5" w:rsidP="00CF69B5">
      <w:pPr>
        <w:ind w:left="720"/>
        <w:rPr>
          <w:rFonts w:cs="Arial"/>
          <w:spacing w:val="0"/>
          <w:lang w:eastAsia="en-GB"/>
        </w:rPr>
      </w:pPr>
    </w:p>
    <w:p w14:paraId="46E6CFAD" w14:textId="77777777" w:rsidR="00CF69B5" w:rsidRPr="00696A5D" w:rsidRDefault="00A724BF" w:rsidP="00B279C0">
      <w:pPr>
        <w:numPr>
          <w:ilvl w:val="0"/>
          <w:numId w:val="27"/>
        </w:numPr>
        <w:tabs>
          <w:tab w:val="num" w:pos="1701"/>
        </w:tabs>
        <w:ind w:left="1701" w:hanging="425"/>
        <w:rPr>
          <w:rFonts w:cs="Arial"/>
          <w:i/>
          <w:spacing w:val="0"/>
          <w:lang w:eastAsia="en-GB"/>
        </w:rPr>
      </w:pPr>
      <w:r w:rsidRPr="00696A5D">
        <w:rPr>
          <w:rFonts w:cs="Arial"/>
          <w:spacing w:val="0"/>
          <w:lang w:eastAsia="en-GB"/>
        </w:rPr>
        <w:t xml:space="preserve">In house investments </w:t>
      </w:r>
    </w:p>
    <w:p w14:paraId="1FB9FE7C" w14:textId="77777777" w:rsidR="00CF69B5" w:rsidRPr="00696A5D" w:rsidRDefault="00A724BF" w:rsidP="00CF69B5">
      <w:pPr>
        <w:ind w:left="720" w:firstLine="1974"/>
        <w:rPr>
          <w:rFonts w:cs="Arial"/>
          <w:spacing w:val="0"/>
          <w:lang w:eastAsia="en-GB"/>
        </w:rPr>
      </w:pPr>
      <w:r w:rsidRPr="00696A5D">
        <w:rPr>
          <w:rFonts w:cs="Arial"/>
          <w:spacing w:val="0"/>
          <w:lang w:eastAsia="en-GB"/>
        </w:rPr>
        <w:tab/>
      </w:r>
      <w:r w:rsidRPr="00696A5D">
        <w:rPr>
          <w:rFonts w:cs="Arial"/>
          <w:spacing w:val="0"/>
          <w:lang w:eastAsia="en-GB"/>
        </w:rPr>
        <w:tab/>
      </w:r>
      <w:proofErr w:type="gramStart"/>
      <w:r w:rsidR="00ED3C83" w:rsidRPr="00696A5D">
        <w:rPr>
          <w:rFonts w:cs="Arial"/>
          <w:spacing w:val="0"/>
          <w:lang w:eastAsia="en-GB"/>
        </w:rPr>
        <w:t>7 day</w:t>
      </w:r>
      <w:proofErr w:type="gramEnd"/>
      <w:r w:rsidR="00ED3C83" w:rsidRPr="00696A5D">
        <w:rPr>
          <w:rFonts w:cs="Arial"/>
          <w:spacing w:val="0"/>
          <w:lang w:eastAsia="en-GB"/>
        </w:rPr>
        <w:t xml:space="preserve"> SONIA</w:t>
      </w:r>
    </w:p>
    <w:p w14:paraId="3D649E55" w14:textId="77777777" w:rsidR="00CF69B5" w:rsidRPr="00696A5D" w:rsidRDefault="00A724BF" w:rsidP="00CF69B5">
      <w:pPr>
        <w:ind w:left="720" w:firstLine="1974"/>
        <w:rPr>
          <w:rFonts w:cs="Arial"/>
          <w:spacing w:val="0"/>
          <w:lang w:eastAsia="en-GB"/>
        </w:rPr>
      </w:pPr>
      <w:r w:rsidRPr="00696A5D">
        <w:rPr>
          <w:rFonts w:cs="Arial"/>
          <w:spacing w:val="0"/>
          <w:lang w:eastAsia="en-GB"/>
        </w:rPr>
        <w:t xml:space="preserve"> </w:t>
      </w:r>
    </w:p>
    <w:p w14:paraId="581B0110" w14:textId="77777777" w:rsidR="00CF69B5" w:rsidRPr="00696A5D" w:rsidRDefault="00A724BF" w:rsidP="00CF69B5">
      <w:pPr>
        <w:ind w:left="1276"/>
        <w:rPr>
          <w:rFonts w:cs="Arial"/>
          <w:spacing w:val="0"/>
          <w:lang w:eastAsia="en-GB"/>
        </w:rPr>
      </w:pPr>
      <w:r w:rsidRPr="00696A5D">
        <w:rPr>
          <w:rFonts w:cs="Arial"/>
          <w:i/>
          <w:spacing w:val="0"/>
          <w:lang w:eastAsia="en-GB"/>
        </w:rPr>
        <w:t>b.</w:t>
      </w:r>
      <w:r w:rsidRPr="00696A5D">
        <w:rPr>
          <w:rFonts w:cs="Arial"/>
          <w:b/>
          <w:i/>
          <w:spacing w:val="0"/>
          <w:lang w:eastAsia="en-GB"/>
        </w:rPr>
        <w:t xml:space="preserve">   </w:t>
      </w:r>
      <w:r w:rsidRPr="00696A5D">
        <w:rPr>
          <w:rFonts w:cs="Arial"/>
          <w:spacing w:val="0"/>
          <w:lang w:eastAsia="en-GB"/>
        </w:rPr>
        <w:t>External fund manager</w:t>
      </w:r>
    </w:p>
    <w:p w14:paraId="1F04A904" w14:textId="77777777" w:rsidR="00CF69B5" w:rsidRPr="00696A5D" w:rsidRDefault="00A724BF" w:rsidP="00ED3C83">
      <w:pPr>
        <w:ind w:left="720" w:firstLine="2824"/>
        <w:rPr>
          <w:rFonts w:cs="Arial"/>
          <w:spacing w:val="0"/>
          <w:lang w:eastAsia="en-GB"/>
        </w:rPr>
      </w:pPr>
      <w:r w:rsidRPr="00696A5D">
        <w:rPr>
          <w:rFonts w:cs="Arial"/>
          <w:spacing w:val="0"/>
          <w:lang w:eastAsia="en-GB"/>
        </w:rPr>
        <w:tab/>
      </w:r>
      <w:proofErr w:type="gramStart"/>
      <w:r w:rsidR="00ED3C83" w:rsidRPr="00696A5D">
        <w:rPr>
          <w:rFonts w:cs="Arial"/>
          <w:spacing w:val="0"/>
          <w:lang w:eastAsia="en-GB"/>
        </w:rPr>
        <w:t>7 day</w:t>
      </w:r>
      <w:proofErr w:type="gramEnd"/>
      <w:r w:rsidR="00ED3C83" w:rsidRPr="00696A5D">
        <w:rPr>
          <w:rFonts w:cs="Arial"/>
          <w:spacing w:val="0"/>
          <w:lang w:eastAsia="en-GB"/>
        </w:rPr>
        <w:t xml:space="preserve"> SONIA</w:t>
      </w:r>
    </w:p>
    <w:p w14:paraId="10D4CF01" w14:textId="77777777" w:rsidR="00CF69B5" w:rsidRPr="00696A5D" w:rsidRDefault="00A724BF" w:rsidP="00CF69B5">
      <w:pPr>
        <w:rPr>
          <w:rFonts w:cs="Arial"/>
          <w:spacing w:val="0"/>
          <w:lang w:eastAsia="en-GB"/>
        </w:rPr>
      </w:pPr>
      <w:r w:rsidRPr="00696A5D">
        <w:rPr>
          <w:rFonts w:cs="Arial"/>
          <w:spacing w:val="0"/>
          <w:lang w:eastAsia="en-GB"/>
        </w:rPr>
        <w:t>Epsom &amp; Ewell Borough Council’s policy is to appoint external investment fund managers to manage a proportion of its cash and will comply with the Local Authorities (Contracting Out of Investment Functions) Order 1996 [SI 1996 No 1883}.</w:t>
      </w:r>
    </w:p>
    <w:p w14:paraId="4F1616F4" w14:textId="77777777" w:rsidR="00CF69B5" w:rsidRPr="00696A5D" w:rsidRDefault="00CF69B5" w:rsidP="00CF69B5">
      <w:pPr>
        <w:ind w:left="720"/>
        <w:rPr>
          <w:rFonts w:cs="Arial"/>
          <w:spacing w:val="0"/>
          <w:lang w:eastAsia="en-GB"/>
        </w:rPr>
      </w:pPr>
    </w:p>
    <w:p w14:paraId="1D7B7452" w14:textId="77777777" w:rsidR="00CF69B5" w:rsidRPr="00696A5D" w:rsidRDefault="00A724BF" w:rsidP="00CF69B5">
      <w:pPr>
        <w:rPr>
          <w:rFonts w:cs="Arial"/>
          <w:spacing w:val="0"/>
          <w:lang w:eastAsia="en-GB"/>
        </w:rPr>
      </w:pPr>
      <w:r w:rsidRPr="00696A5D">
        <w:rPr>
          <w:rFonts w:cs="Arial"/>
          <w:spacing w:val="0"/>
          <w:lang w:eastAsia="en-GB"/>
        </w:rPr>
        <w:t>The delegation of investment management to external managers will entail the following:</w:t>
      </w:r>
    </w:p>
    <w:p w14:paraId="242A33ED" w14:textId="77777777" w:rsidR="00CF69B5" w:rsidRPr="00696A5D" w:rsidRDefault="00CF69B5" w:rsidP="00CF69B5">
      <w:pPr>
        <w:tabs>
          <w:tab w:val="num" w:pos="1320"/>
        </w:tabs>
        <w:ind w:left="720"/>
        <w:rPr>
          <w:rFonts w:cs="Arial"/>
          <w:spacing w:val="0"/>
          <w:lang w:eastAsia="en-GB"/>
        </w:rPr>
      </w:pPr>
    </w:p>
    <w:p w14:paraId="0216BF2D" w14:textId="77777777" w:rsidR="00CF69B5" w:rsidRPr="00696A5D" w:rsidRDefault="00A724BF" w:rsidP="00B279C0">
      <w:pPr>
        <w:numPr>
          <w:ilvl w:val="0"/>
          <w:numId w:val="35"/>
        </w:numPr>
        <w:rPr>
          <w:rFonts w:cs="Arial"/>
          <w:spacing w:val="0"/>
          <w:lang w:eastAsia="en-GB"/>
        </w:rPr>
      </w:pPr>
      <w:r w:rsidRPr="00696A5D">
        <w:rPr>
          <w:rFonts w:cs="Arial"/>
          <w:spacing w:val="0"/>
          <w:lang w:eastAsia="en-GB"/>
        </w:rPr>
        <w:t xml:space="preserve">Formal contractual </w:t>
      </w:r>
      <w:proofErr w:type="gramStart"/>
      <w:r w:rsidRPr="00696A5D">
        <w:rPr>
          <w:rFonts w:cs="Arial"/>
          <w:spacing w:val="0"/>
          <w:lang w:eastAsia="en-GB"/>
        </w:rPr>
        <w:t>documentation;</w:t>
      </w:r>
      <w:proofErr w:type="gramEnd"/>
    </w:p>
    <w:p w14:paraId="3DB0DE0A" w14:textId="77777777" w:rsidR="00CF69B5" w:rsidRPr="00696A5D" w:rsidRDefault="00CF69B5" w:rsidP="00CF69B5">
      <w:pPr>
        <w:tabs>
          <w:tab w:val="num" w:pos="1320"/>
        </w:tabs>
        <w:ind w:left="720"/>
        <w:rPr>
          <w:rFonts w:cs="Arial"/>
          <w:spacing w:val="0"/>
          <w:lang w:eastAsia="en-GB"/>
        </w:rPr>
      </w:pPr>
    </w:p>
    <w:p w14:paraId="4543046B" w14:textId="77777777" w:rsidR="00CF69B5" w:rsidRPr="00696A5D" w:rsidRDefault="00A724BF" w:rsidP="00B279C0">
      <w:pPr>
        <w:numPr>
          <w:ilvl w:val="0"/>
          <w:numId w:val="35"/>
        </w:numPr>
        <w:rPr>
          <w:rFonts w:cs="Arial"/>
          <w:spacing w:val="0"/>
          <w:lang w:eastAsia="en-GB"/>
        </w:rPr>
      </w:pPr>
      <w:r w:rsidRPr="00696A5D">
        <w:rPr>
          <w:rFonts w:cs="Arial"/>
          <w:spacing w:val="0"/>
          <w:lang w:eastAsia="en-GB"/>
        </w:rPr>
        <w:t xml:space="preserve">Agreement on terms for early termination of the </w:t>
      </w:r>
      <w:proofErr w:type="gramStart"/>
      <w:r w:rsidRPr="00696A5D">
        <w:rPr>
          <w:rFonts w:cs="Arial"/>
          <w:spacing w:val="0"/>
          <w:lang w:eastAsia="en-GB"/>
        </w:rPr>
        <w:t>contract;</w:t>
      </w:r>
      <w:proofErr w:type="gramEnd"/>
    </w:p>
    <w:p w14:paraId="370D6519" w14:textId="77777777" w:rsidR="00CF69B5" w:rsidRPr="00696A5D" w:rsidRDefault="00CF69B5" w:rsidP="00CF69B5">
      <w:pPr>
        <w:tabs>
          <w:tab w:val="num" w:pos="1320"/>
        </w:tabs>
        <w:ind w:left="720"/>
        <w:rPr>
          <w:rFonts w:cs="Arial"/>
          <w:spacing w:val="0"/>
          <w:lang w:eastAsia="en-GB"/>
        </w:rPr>
      </w:pPr>
    </w:p>
    <w:p w14:paraId="17EC3CF6" w14:textId="77777777" w:rsidR="00CF69B5" w:rsidRPr="00696A5D" w:rsidRDefault="00A724BF" w:rsidP="00B279C0">
      <w:pPr>
        <w:numPr>
          <w:ilvl w:val="0"/>
          <w:numId w:val="35"/>
        </w:numPr>
        <w:rPr>
          <w:rFonts w:cs="Arial"/>
          <w:spacing w:val="0"/>
          <w:lang w:eastAsia="en-GB"/>
        </w:rPr>
      </w:pPr>
      <w:r w:rsidRPr="00696A5D">
        <w:rPr>
          <w:rFonts w:cs="Arial"/>
          <w:spacing w:val="0"/>
          <w:lang w:eastAsia="en-GB"/>
        </w:rPr>
        <w:t xml:space="preserve">Setting of investment instruments, constraints/parameters/conditions </w:t>
      </w:r>
    </w:p>
    <w:p w14:paraId="5CEB6AC7" w14:textId="77777777" w:rsidR="00CF69B5" w:rsidRPr="00696A5D" w:rsidRDefault="00CF69B5" w:rsidP="00CF69B5">
      <w:pPr>
        <w:tabs>
          <w:tab w:val="num" w:pos="1320"/>
        </w:tabs>
        <w:ind w:left="720"/>
        <w:rPr>
          <w:rFonts w:cs="Arial"/>
          <w:spacing w:val="0"/>
          <w:lang w:eastAsia="en-GB"/>
        </w:rPr>
      </w:pPr>
    </w:p>
    <w:p w14:paraId="4E6C4416" w14:textId="77777777" w:rsidR="00CF69B5" w:rsidRPr="00696A5D" w:rsidRDefault="00A724BF" w:rsidP="00B279C0">
      <w:pPr>
        <w:numPr>
          <w:ilvl w:val="0"/>
          <w:numId w:val="35"/>
        </w:numPr>
        <w:rPr>
          <w:rFonts w:cs="Arial"/>
          <w:spacing w:val="0"/>
          <w:lang w:eastAsia="en-GB"/>
        </w:rPr>
      </w:pPr>
      <w:r w:rsidRPr="00696A5D">
        <w:rPr>
          <w:rFonts w:cs="Arial"/>
          <w:spacing w:val="0"/>
          <w:lang w:eastAsia="en-GB"/>
        </w:rPr>
        <w:t xml:space="preserve">Setting of investment counterparty </w:t>
      </w:r>
      <w:proofErr w:type="gramStart"/>
      <w:r w:rsidRPr="00696A5D">
        <w:rPr>
          <w:rFonts w:cs="Arial"/>
          <w:spacing w:val="0"/>
          <w:lang w:eastAsia="en-GB"/>
        </w:rPr>
        <w:t>limits;</w:t>
      </w:r>
      <w:proofErr w:type="gramEnd"/>
    </w:p>
    <w:p w14:paraId="2A7CDA22" w14:textId="77777777" w:rsidR="00CF69B5" w:rsidRPr="00696A5D" w:rsidRDefault="00CF69B5" w:rsidP="00CF69B5">
      <w:pPr>
        <w:tabs>
          <w:tab w:val="num" w:pos="1320"/>
        </w:tabs>
        <w:ind w:left="720"/>
        <w:rPr>
          <w:rFonts w:cs="Arial"/>
          <w:spacing w:val="0"/>
          <w:lang w:eastAsia="en-GB"/>
        </w:rPr>
      </w:pPr>
    </w:p>
    <w:p w14:paraId="12C91189" w14:textId="77777777" w:rsidR="00CF69B5" w:rsidRPr="00696A5D" w:rsidRDefault="00A724BF" w:rsidP="00B279C0">
      <w:pPr>
        <w:numPr>
          <w:ilvl w:val="0"/>
          <w:numId w:val="35"/>
        </w:numPr>
        <w:rPr>
          <w:rFonts w:cs="Arial"/>
          <w:spacing w:val="0"/>
          <w:lang w:eastAsia="en-GB"/>
        </w:rPr>
      </w:pPr>
      <w:r w:rsidRPr="00696A5D">
        <w:rPr>
          <w:rFonts w:cs="Arial"/>
          <w:spacing w:val="0"/>
          <w:lang w:eastAsia="en-GB"/>
        </w:rPr>
        <w:t xml:space="preserve">Setting a performance measurement benchmark and a performance </w:t>
      </w:r>
      <w:proofErr w:type="gramStart"/>
      <w:r w:rsidRPr="00696A5D">
        <w:rPr>
          <w:rFonts w:cs="Arial"/>
          <w:spacing w:val="0"/>
          <w:lang w:eastAsia="en-GB"/>
        </w:rPr>
        <w:t>target;</w:t>
      </w:r>
      <w:proofErr w:type="gramEnd"/>
    </w:p>
    <w:p w14:paraId="46B27DAD" w14:textId="77777777" w:rsidR="00CF69B5" w:rsidRPr="00696A5D" w:rsidRDefault="00CF69B5" w:rsidP="00CF69B5">
      <w:pPr>
        <w:tabs>
          <w:tab w:val="num" w:pos="1320"/>
        </w:tabs>
        <w:ind w:left="720"/>
        <w:rPr>
          <w:rFonts w:cs="Arial"/>
          <w:spacing w:val="0"/>
          <w:lang w:eastAsia="en-GB"/>
        </w:rPr>
      </w:pPr>
    </w:p>
    <w:p w14:paraId="488C2592" w14:textId="77777777" w:rsidR="00CF69B5" w:rsidRPr="00696A5D" w:rsidRDefault="00A724BF" w:rsidP="00B279C0">
      <w:pPr>
        <w:numPr>
          <w:ilvl w:val="0"/>
          <w:numId w:val="35"/>
        </w:numPr>
        <w:rPr>
          <w:rFonts w:cs="Arial"/>
          <w:spacing w:val="0"/>
          <w:lang w:eastAsia="en-GB"/>
        </w:rPr>
      </w:pPr>
      <w:r w:rsidRPr="00696A5D">
        <w:rPr>
          <w:rFonts w:cs="Arial"/>
          <w:spacing w:val="0"/>
          <w:lang w:eastAsia="en-GB"/>
        </w:rPr>
        <w:t xml:space="preserve">Frequency of performance </w:t>
      </w:r>
      <w:proofErr w:type="gramStart"/>
      <w:r w:rsidRPr="00696A5D">
        <w:rPr>
          <w:rFonts w:cs="Arial"/>
          <w:spacing w:val="0"/>
          <w:lang w:eastAsia="en-GB"/>
        </w:rPr>
        <w:t>reporting;</w:t>
      </w:r>
      <w:proofErr w:type="gramEnd"/>
      <w:r w:rsidRPr="00696A5D">
        <w:rPr>
          <w:rFonts w:cs="Arial"/>
          <w:spacing w:val="0"/>
          <w:lang w:eastAsia="en-GB"/>
        </w:rPr>
        <w:t xml:space="preserve"> </w:t>
      </w:r>
    </w:p>
    <w:p w14:paraId="438A3612" w14:textId="77777777" w:rsidR="00CF69B5" w:rsidRPr="00696A5D" w:rsidRDefault="00CF69B5" w:rsidP="00CF69B5">
      <w:pPr>
        <w:tabs>
          <w:tab w:val="num" w:pos="1320"/>
        </w:tabs>
        <w:ind w:left="720"/>
        <w:rPr>
          <w:rFonts w:cs="Arial"/>
          <w:spacing w:val="0"/>
          <w:lang w:eastAsia="en-GB"/>
        </w:rPr>
      </w:pPr>
    </w:p>
    <w:p w14:paraId="284916D3" w14:textId="77777777" w:rsidR="00CF69B5" w:rsidRPr="00696A5D" w:rsidRDefault="00A724BF" w:rsidP="00B279C0">
      <w:pPr>
        <w:numPr>
          <w:ilvl w:val="0"/>
          <w:numId w:val="35"/>
        </w:numPr>
        <w:rPr>
          <w:rFonts w:cs="Arial"/>
          <w:spacing w:val="0"/>
          <w:lang w:eastAsia="en-GB"/>
        </w:rPr>
      </w:pPr>
      <w:r w:rsidRPr="00696A5D">
        <w:rPr>
          <w:rFonts w:cs="Arial"/>
          <w:spacing w:val="0"/>
          <w:lang w:eastAsia="en-GB"/>
        </w:rPr>
        <w:lastRenderedPageBreak/>
        <w:t xml:space="preserve">Frequency of meetings with investment </w:t>
      </w:r>
      <w:proofErr w:type="gramStart"/>
      <w:r w:rsidRPr="00696A5D">
        <w:rPr>
          <w:rFonts w:cs="Arial"/>
          <w:spacing w:val="0"/>
          <w:lang w:eastAsia="en-GB"/>
        </w:rPr>
        <w:t>managers;</w:t>
      </w:r>
      <w:proofErr w:type="gramEnd"/>
    </w:p>
    <w:p w14:paraId="16FD5EAB" w14:textId="77777777" w:rsidR="00CF69B5" w:rsidRPr="00696A5D" w:rsidRDefault="00CF69B5" w:rsidP="00CF69B5">
      <w:pPr>
        <w:ind w:left="720"/>
        <w:rPr>
          <w:rFonts w:cs="Arial"/>
          <w:spacing w:val="0"/>
          <w:lang w:eastAsia="en-GB"/>
        </w:rPr>
      </w:pPr>
    </w:p>
    <w:p w14:paraId="11257A93" w14:textId="77777777" w:rsidR="00CF69B5" w:rsidRPr="00696A5D" w:rsidRDefault="00A724BF" w:rsidP="00CF69B5">
      <w:pPr>
        <w:rPr>
          <w:rFonts w:cs="Arial"/>
          <w:spacing w:val="0"/>
          <w:lang w:val="en-US" w:eastAsia="en-GB"/>
        </w:rPr>
      </w:pPr>
      <w:r w:rsidRPr="00696A5D">
        <w:rPr>
          <w:rFonts w:cs="Arial"/>
          <w:spacing w:val="0"/>
          <w:lang w:val="en-US" w:eastAsia="en-GB"/>
        </w:rPr>
        <w:t xml:space="preserve">The Code of Practice places an obligation on the Council to monitor the performance of the fund managers. This Council has appointed </w:t>
      </w:r>
      <w:r w:rsidRPr="00696A5D">
        <w:rPr>
          <w:rFonts w:cs="Arial"/>
        </w:rPr>
        <w:t xml:space="preserve">Link Asset Services </w:t>
      </w:r>
      <w:r w:rsidRPr="00696A5D">
        <w:rPr>
          <w:rFonts w:cs="Arial"/>
          <w:spacing w:val="0"/>
          <w:lang w:val="en-US" w:eastAsia="en-GB"/>
        </w:rPr>
        <w:t>to assist in this respect.</w:t>
      </w:r>
    </w:p>
    <w:p w14:paraId="65DC1292" w14:textId="77777777" w:rsidR="00CF69B5" w:rsidRPr="00696A5D" w:rsidRDefault="00CF69B5" w:rsidP="00CF69B5">
      <w:pPr>
        <w:rPr>
          <w:rFonts w:cs="Arial"/>
          <w:spacing w:val="0"/>
          <w:lang w:eastAsia="en-GB"/>
        </w:rPr>
      </w:pPr>
    </w:p>
    <w:p w14:paraId="46C15B95" w14:textId="77777777" w:rsidR="00CF69B5" w:rsidRPr="00696A5D" w:rsidRDefault="00A724BF" w:rsidP="009F4CF9">
      <w:pPr>
        <w:pStyle w:val="Subheading"/>
        <w:rPr>
          <w:sz w:val="20"/>
          <w:szCs w:val="20"/>
          <w:lang w:eastAsia="en-GB"/>
        </w:rPr>
      </w:pPr>
      <w:r w:rsidRPr="00696A5D">
        <w:rPr>
          <w:sz w:val="20"/>
          <w:szCs w:val="20"/>
          <w:lang w:eastAsia="en-GB"/>
        </w:rPr>
        <w:t xml:space="preserve">TMP3 Decision – making and analysis </w:t>
      </w:r>
    </w:p>
    <w:p w14:paraId="02E3363A" w14:textId="77777777" w:rsidR="00CF69B5" w:rsidRPr="00696A5D" w:rsidRDefault="00CF69B5" w:rsidP="00CF69B5">
      <w:pPr>
        <w:ind w:left="187"/>
        <w:rPr>
          <w:rFonts w:cs="Arial"/>
          <w:b/>
          <w:spacing w:val="0"/>
          <w:lang w:eastAsia="en-GB"/>
        </w:rPr>
      </w:pPr>
    </w:p>
    <w:p w14:paraId="61A41367" w14:textId="77777777" w:rsidR="00CF69B5" w:rsidRPr="00696A5D" w:rsidRDefault="00A724BF" w:rsidP="00CF69B5">
      <w:pPr>
        <w:rPr>
          <w:rFonts w:cs="Arial"/>
          <w:spacing w:val="0"/>
          <w:lang w:eastAsia="en-GB"/>
        </w:rPr>
      </w:pPr>
      <w:r w:rsidRPr="00696A5D">
        <w:rPr>
          <w:rFonts w:cs="Arial"/>
          <w:spacing w:val="0"/>
          <w:lang w:eastAsia="en-GB"/>
        </w:rPr>
        <w:t xml:space="preserve">Epsom &amp; Ewell Borough Council will maintain full records of its treasury management decisions, and of the processes and practices applied in reaching those decisions, both for the purposes of learning from the past, and for demonstrating that reasonable steps were taken to ensure that all issues relevant to those decisions were taken into account at the time. The issues to be addressed and processes and practices to be pursued in reaching decisions are detailed in the scheduled to this document.” </w:t>
      </w:r>
    </w:p>
    <w:p w14:paraId="6E89496F" w14:textId="77777777" w:rsidR="00CF69B5" w:rsidRPr="00696A5D" w:rsidRDefault="00CF69B5" w:rsidP="00CF69B5">
      <w:pPr>
        <w:ind w:left="720"/>
        <w:rPr>
          <w:rFonts w:cs="Arial"/>
          <w:spacing w:val="0"/>
          <w:lang w:eastAsia="en-GB"/>
        </w:rPr>
      </w:pPr>
    </w:p>
    <w:p w14:paraId="23D31133" w14:textId="77777777" w:rsidR="00CF69B5" w:rsidRPr="00696A5D" w:rsidRDefault="00A724BF" w:rsidP="00CF69B5">
      <w:pPr>
        <w:rPr>
          <w:rFonts w:cs="Arial"/>
          <w:spacing w:val="0"/>
          <w:lang w:eastAsia="en-GB"/>
        </w:rPr>
      </w:pPr>
      <w:r w:rsidRPr="00696A5D">
        <w:rPr>
          <w:rFonts w:cs="Arial"/>
          <w:spacing w:val="0"/>
          <w:lang w:eastAsia="en-GB"/>
        </w:rPr>
        <w:t>The Treasury team will ensure that the following records will be retained</w:t>
      </w:r>
      <w:r w:rsidRPr="00696A5D">
        <w:rPr>
          <w:rFonts w:cs="Arial"/>
          <w:i/>
          <w:spacing w:val="0"/>
          <w:lang w:eastAsia="en-GB"/>
        </w:rPr>
        <w:t>:</w:t>
      </w:r>
      <w:r w:rsidRPr="00696A5D">
        <w:rPr>
          <w:rFonts w:cs="Arial"/>
          <w:spacing w:val="0"/>
          <w:lang w:eastAsia="en-GB"/>
        </w:rPr>
        <w:t xml:space="preserve"> -</w:t>
      </w:r>
    </w:p>
    <w:p w14:paraId="73479E53" w14:textId="77777777" w:rsidR="00CF69B5" w:rsidRPr="00696A5D" w:rsidRDefault="00CF69B5" w:rsidP="00CF69B5">
      <w:pPr>
        <w:tabs>
          <w:tab w:val="left" w:pos="1320"/>
        </w:tabs>
        <w:ind w:left="709" w:right="11"/>
        <w:jc w:val="both"/>
        <w:rPr>
          <w:rFonts w:cs="Arial"/>
          <w:spacing w:val="0"/>
          <w:lang w:eastAsia="en-GB"/>
        </w:rPr>
      </w:pPr>
    </w:p>
    <w:p w14:paraId="1D91DD53" w14:textId="77777777" w:rsidR="00CF69B5" w:rsidRPr="00696A5D" w:rsidRDefault="00A724BF" w:rsidP="00B279C0">
      <w:pPr>
        <w:numPr>
          <w:ilvl w:val="0"/>
          <w:numId w:val="36"/>
        </w:numPr>
        <w:tabs>
          <w:tab w:val="clear" w:pos="363"/>
          <w:tab w:val="num" w:pos="1072"/>
          <w:tab w:val="left" w:pos="1320"/>
        </w:tabs>
        <w:ind w:left="1072" w:right="11"/>
        <w:jc w:val="both"/>
        <w:rPr>
          <w:rFonts w:cs="Arial"/>
          <w:spacing w:val="0"/>
          <w:lang w:eastAsia="en-GB"/>
        </w:rPr>
      </w:pPr>
      <w:r w:rsidRPr="00696A5D">
        <w:rPr>
          <w:rFonts w:cs="Arial"/>
          <w:spacing w:val="0"/>
          <w:lang w:eastAsia="en-GB"/>
        </w:rPr>
        <w:t>Daily cash balance forecasts</w:t>
      </w:r>
    </w:p>
    <w:p w14:paraId="7FE486B3" w14:textId="77777777" w:rsidR="00CF69B5" w:rsidRPr="00696A5D" w:rsidRDefault="00CF69B5" w:rsidP="00CF69B5">
      <w:pPr>
        <w:tabs>
          <w:tab w:val="left" w:pos="1320"/>
        </w:tabs>
        <w:ind w:left="709" w:right="14"/>
        <w:jc w:val="both"/>
        <w:rPr>
          <w:rFonts w:cs="Arial"/>
          <w:spacing w:val="0"/>
          <w:lang w:eastAsia="en-GB"/>
        </w:rPr>
      </w:pPr>
    </w:p>
    <w:p w14:paraId="7D108127" w14:textId="77777777" w:rsidR="00CF69B5" w:rsidRPr="00696A5D" w:rsidRDefault="00A724BF" w:rsidP="00B279C0">
      <w:pPr>
        <w:numPr>
          <w:ilvl w:val="0"/>
          <w:numId w:val="36"/>
        </w:numPr>
        <w:tabs>
          <w:tab w:val="clear" w:pos="363"/>
          <w:tab w:val="num" w:pos="1072"/>
          <w:tab w:val="left" w:pos="1320"/>
        </w:tabs>
        <w:ind w:left="1072" w:right="14"/>
        <w:jc w:val="both"/>
        <w:rPr>
          <w:rFonts w:cs="Arial"/>
          <w:spacing w:val="0"/>
          <w:lang w:eastAsia="en-GB"/>
        </w:rPr>
      </w:pPr>
      <w:r w:rsidRPr="00696A5D">
        <w:rPr>
          <w:rFonts w:cs="Arial"/>
          <w:spacing w:val="0"/>
          <w:lang w:eastAsia="en-GB"/>
        </w:rPr>
        <w:t>Money market rates obtained by telephone from brokers</w:t>
      </w:r>
    </w:p>
    <w:p w14:paraId="7D37A662" w14:textId="77777777" w:rsidR="00CF69B5" w:rsidRPr="00696A5D" w:rsidRDefault="00CF69B5" w:rsidP="00CF69B5">
      <w:pPr>
        <w:tabs>
          <w:tab w:val="left" w:pos="1320"/>
        </w:tabs>
        <w:ind w:left="709" w:right="14"/>
        <w:jc w:val="both"/>
        <w:rPr>
          <w:rFonts w:cs="Arial"/>
          <w:spacing w:val="0"/>
          <w:lang w:eastAsia="en-GB"/>
        </w:rPr>
      </w:pPr>
    </w:p>
    <w:p w14:paraId="5AF6E91F" w14:textId="77777777" w:rsidR="00CF69B5" w:rsidRPr="00696A5D" w:rsidRDefault="00A724BF" w:rsidP="00B279C0">
      <w:pPr>
        <w:numPr>
          <w:ilvl w:val="0"/>
          <w:numId w:val="36"/>
        </w:numPr>
        <w:tabs>
          <w:tab w:val="clear" w:pos="363"/>
          <w:tab w:val="num" w:pos="1072"/>
          <w:tab w:val="left" w:pos="1320"/>
        </w:tabs>
        <w:ind w:left="1072" w:right="14"/>
        <w:jc w:val="both"/>
        <w:rPr>
          <w:rFonts w:cs="Arial"/>
          <w:spacing w:val="0"/>
          <w:lang w:eastAsia="en-GB"/>
        </w:rPr>
      </w:pPr>
      <w:r w:rsidRPr="00696A5D">
        <w:rPr>
          <w:rFonts w:cs="Arial"/>
          <w:spacing w:val="0"/>
          <w:lang w:eastAsia="en-GB"/>
        </w:rPr>
        <w:t>Dealing slips for all money market transactions</w:t>
      </w:r>
    </w:p>
    <w:p w14:paraId="4D5A3D47" w14:textId="77777777" w:rsidR="00CF69B5" w:rsidRPr="00696A5D" w:rsidRDefault="00CF69B5" w:rsidP="00CF69B5">
      <w:pPr>
        <w:tabs>
          <w:tab w:val="left" w:pos="1320"/>
        </w:tabs>
        <w:ind w:left="709" w:right="14"/>
        <w:jc w:val="both"/>
        <w:rPr>
          <w:rFonts w:cs="Arial"/>
          <w:spacing w:val="0"/>
          <w:lang w:eastAsia="en-GB"/>
        </w:rPr>
      </w:pPr>
    </w:p>
    <w:p w14:paraId="19ED9FAB" w14:textId="77777777" w:rsidR="00CF69B5" w:rsidRPr="00696A5D" w:rsidRDefault="00A724BF" w:rsidP="00B279C0">
      <w:pPr>
        <w:numPr>
          <w:ilvl w:val="0"/>
          <w:numId w:val="36"/>
        </w:numPr>
        <w:tabs>
          <w:tab w:val="clear" w:pos="363"/>
          <w:tab w:val="num" w:pos="1072"/>
          <w:tab w:val="left" w:pos="1320"/>
        </w:tabs>
        <w:ind w:left="1072" w:right="14"/>
        <w:jc w:val="both"/>
        <w:rPr>
          <w:rFonts w:cs="Arial"/>
          <w:spacing w:val="0"/>
          <w:lang w:eastAsia="en-GB"/>
        </w:rPr>
      </w:pPr>
      <w:r w:rsidRPr="00696A5D">
        <w:rPr>
          <w:rFonts w:cs="Arial"/>
          <w:spacing w:val="0"/>
          <w:lang w:eastAsia="en-GB"/>
        </w:rPr>
        <w:t>Brokers’ confirmations for investment transactions</w:t>
      </w:r>
    </w:p>
    <w:p w14:paraId="4C13128D" w14:textId="77777777" w:rsidR="00CF69B5" w:rsidRPr="00696A5D" w:rsidRDefault="00CF69B5" w:rsidP="00CF69B5">
      <w:pPr>
        <w:tabs>
          <w:tab w:val="left" w:pos="1320"/>
        </w:tabs>
        <w:ind w:left="709" w:right="14"/>
        <w:jc w:val="both"/>
        <w:rPr>
          <w:rFonts w:cs="Arial"/>
          <w:spacing w:val="0"/>
          <w:lang w:eastAsia="en-GB"/>
        </w:rPr>
      </w:pPr>
    </w:p>
    <w:p w14:paraId="12BB843E" w14:textId="77777777" w:rsidR="00CF69B5" w:rsidRPr="00696A5D" w:rsidRDefault="00A724BF" w:rsidP="00B279C0">
      <w:pPr>
        <w:numPr>
          <w:ilvl w:val="0"/>
          <w:numId w:val="36"/>
        </w:numPr>
        <w:tabs>
          <w:tab w:val="clear" w:pos="363"/>
          <w:tab w:val="num" w:pos="1072"/>
          <w:tab w:val="left" w:pos="1320"/>
        </w:tabs>
        <w:ind w:left="1072" w:right="14"/>
        <w:jc w:val="both"/>
        <w:rPr>
          <w:rFonts w:cs="Arial"/>
          <w:spacing w:val="0"/>
          <w:lang w:eastAsia="en-GB"/>
        </w:rPr>
      </w:pPr>
      <w:r w:rsidRPr="00696A5D">
        <w:rPr>
          <w:rFonts w:cs="Arial"/>
          <w:spacing w:val="0"/>
          <w:lang w:eastAsia="en-GB"/>
        </w:rPr>
        <w:t>Confirmations from borrowing institutions where deals are done directly</w:t>
      </w:r>
    </w:p>
    <w:p w14:paraId="3ECCE9E8" w14:textId="77777777" w:rsidR="00CF69B5" w:rsidRPr="00696A5D" w:rsidRDefault="00CF69B5" w:rsidP="00CF69B5">
      <w:pPr>
        <w:tabs>
          <w:tab w:val="left" w:pos="1320"/>
        </w:tabs>
        <w:ind w:left="709" w:right="14"/>
        <w:jc w:val="both"/>
        <w:rPr>
          <w:rFonts w:cs="Arial"/>
          <w:spacing w:val="0"/>
          <w:lang w:eastAsia="en-GB"/>
        </w:rPr>
      </w:pPr>
    </w:p>
    <w:p w14:paraId="563649A3" w14:textId="77777777" w:rsidR="00CF69B5" w:rsidRPr="00696A5D" w:rsidRDefault="00A724BF" w:rsidP="00B279C0">
      <w:pPr>
        <w:numPr>
          <w:ilvl w:val="0"/>
          <w:numId w:val="36"/>
        </w:numPr>
        <w:tabs>
          <w:tab w:val="clear" w:pos="363"/>
          <w:tab w:val="num" w:pos="1072"/>
          <w:tab w:val="left" w:pos="1320"/>
        </w:tabs>
        <w:ind w:left="1072" w:right="14"/>
        <w:jc w:val="both"/>
        <w:rPr>
          <w:rFonts w:cs="Arial"/>
          <w:spacing w:val="0"/>
          <w:lang w:eastAsia="en-GB"/>
        </w:rPr>
      </w:pPr>
      <w:r w:rsidRPr="00696A5D">
        <w:rPr>
          <w:rFonts w:cs="Arial"/>
          <w:spacing w:val="0"/>
          <w:lang w:eastAsia="en-GB"/>
        </w:rPr>
        <w:t>Contract notes received from fund manager</w:t>
      </w:r>
    </w:p>
    <w:p w14:paraId="7BB3E2AE" w14:textId="77777777" w:rsidR="00CF69B5" w:rsidRPr="00696A5D" w:rsidRDefault="00CF69B5" w:rsidP="00CF69B5">
      <w:pPr>
        <w:tabs>
          <w:tab w:val="left" w:pos="1320"/>
        </w:tabs>
        <w:ind w:left="709" w:right="14"/>
        <w:jc w:val="both"/>
        <w:rPr>
          <w:rFonts w:cs="Arial"/>
          <w:spacing w:val="0"/>
          <w:lang w:eastAsia="en-GB"/>
        </w:rPr>
      </w:pPr>
    </w:p>
    <w:p w14:paraId="3F0C1FB4" w14:textId="77777777" w:rsidR="00CF69B5" w:rsidRPr="00696A5D" w:rsidRDefault="00A724BF" w:rsidP="00B279C0">
      <w:pPr>
        <w:numPr>
          <w:ilvl w:val="0"/>
          <w:numId w:val="36"/>
        </w:numPr>
        <w:tabs>
          <w:tab w:val="clear" w:pos="363"/>
          <w:tab w:val="num" w:pos="1072"/>
          <w:tab w:val="left" w:pos="1320"/>
        </w:tabs>
        <w:ind w:left="1072" w:right="14"/>
        <w:jc w:val="both"/>
        <w:rPr>
          <w:rFonts w:cs="Arial"/>
          <w:spacing w:val="0"/>
          <w:lang w:eastAsia="en-GB"/>
        </w:rPr>
      </w:pPr>
      <w:r w:rsidRPr="00696A5D">
        <w:rPr>
          <w:rFonts w:cs="Arial"/>
          <w:spacing w:val="0"/>
          <w:lang w:eastAsia="en-GB"/>
        </w:rPr>
        <w:t>Fund manager valuation statements</w:t>
      </w:r>
    </w:p>
    <w:p w14:paraId="4F2904D8" w14:textId="77777777" w:rsidR="00CF69B5" w:rsidRPr="00696A5D" w:rsidRDefault="00CF69B5" w:rsidP="00CF69B5">
      <w:pPr>
        <w:ind w:left="1418" w:right="14"/>
        <w:jc w:val="both"/>
        <w:rPr>
          <w:rFonts w:cs="Arial"/>
          <w:spacing w:val="0"/>
          <w:lang w:eastAsia="en-GB"/>
        </w:rPr>
      </w:pPr>
    </w:p>
    <w:p w14:paraId="73ABC51B" w14:textId="77777777" w:rsidR="00CF69B5" w:rsidRPr="00696A5D" w:rsidRDefault="00A724BF" w:rsidP="00CF69B5">
      <w:pPr>
        <w:ind w:right="14"/>
        <w:jc w:val="both"/>
        <w:rPr>
          <w:rFonts w:cs="Arial"/>
          <w:spacing w:val="0"/>
          <w:lang w:eastAsia="en-GB"/>
        </w:rPr>
      </w:pPr>
      <w:r w:rsidRPr="00696A5D">
        <w:rPr>
          <w:rFonts w:cs="Arial"/>
          <w:spacing w:val="0"/>
          <w:lang w:eastAsia="en-GB"/>
        </w:rPr>
        <w:t>Processes to be pursued:</w:t>
      </w:r>
    </w:p>
    <w:p w14:paraId="1FB59991" w14:textId="77777777" w:rsidR="00CF69B5" w:rsidRPr="00696A5D" w:rsidRDefault="00CF69B5" w:rsidP="00CF69B5">
      <w:pPr>
        <w:ind w:right="14"/>
        <w:jc w:val="both"/>
        <w:rPr>
          <w:rFonts w:cs="Arial"/>
          <w:spacing w:val="0"/>
          <w:lang w:eastAsia="en-GB"/>
        </w:rPr>
      </w:pPr>
    </w:p>
    <w:p w14:paraId="14D113CA" w14:textId="77777777" w:rsidR="00CF69B5" w:rsidRPr="00696A5D" w:rsidRDefault="00A724BF" w:rsidP="00B279C0">
      <w:pPr>
        <w:numPr>
          <w:ilvl w:val="0"/>
          <w:numId w:val="36"/>
        </w:numPr>
        <w:tabs>
          <w:tab w:val="clear" w:pos="363"/>
          <w:tab w:val="num" w:pos="1072"/>
        </w:tabs>
        <w:ind w:left="1072" w:right="11"/>
        <w:jc w:val="both"/>
        <w:rPr>
          <w:rFonts w:cs="Arial"/>
          <w:spacing w:val="0"/>
          <w:lang w:eastAsia="en-GB"/>
        </w:rPr>
      </w:pPr>
      <w:r w:rsidRPr="00696A5D">
        <w:rPr>
          <w:rFonts w:cs="Arial"/>
          <w:spacing w:val="0"/>
          <w:lang w:eastAsia="en-GB"/>
        </w:rPr>
        <w:t>Cash flow analysis</w:t>
      </w:r>
    </w:p>
    <w:p w14:paraId="33F0E421" w14:textId="77777777" w:rsidR="00CF69B5" w:rsidRPr="00696A5D" w:rsidRDefault="00CF69B5" w:rsidP="00CF69B5">
      <w:pPr>
        <w:ind w:left="709" w:right="14"/>
        <w:jc w:val="both"/>
        <w:rPr>
          <w:rFonts w:cs="Arial"/>
          <w:spacing w:val="0"/>
          <w:lang w:eastAsia="en-GB"/>
        </w:rPr>
      </w:pPr>
    </w:p>
    <w:p w14:paraId="3B6CA539" w14:textId="77777777" w:rsidR="00CF69B5" w:rsidRPr="00696A5D" w:rsidRDefault="00A724BF" w:rsidP="00B279C0">
      <w:pPr>
        <w:numPr>
          <w:ilvl w:val="0"/>
          <w:numId w:val="36"/>
        </w:numPr>
        <w:tabs>
          <w:tab w:val="clear" w:pos="363"/>
          <w:tab w:val="num" w:pos="1072"/>
        </w:tabs>
        <w:ind w:left="1072" w:right="14"/>
        <w:jc w:val="both"/>
        <w:rPr>
          <w:rFonts w:cs="Arial"/>
          <w:spacing w:val="0"/>
          <w:lang w:eastAsia="en-GB"/>
        </w:rPr>
      </w:pPr>
      <w:r w:rsidRPr="00696A5D">
        <w:rPr>
          <w:rFonts w:cs="Arial"/>
          <w:spacing w:val="0"/>
          <w:lang w:eastAsia="en-GB"/>
        </w:rPr>
        <w:t>Investment maturity analysis</w:t>
      </w:r>
    </w:p>
    <w:p w14:paraId="520B5060" w14:textId="77777777" w:rsidR="00CF69B5" w:rsidRPr="00696A5D" w:rsidRDefault="00CF69B5" w:rsidP="00CF69B5">
      <w:pPr>
        <w:ind w:left="709" w:right="14"/>
        <w:jc w:val="both"/>
        <w:rPr>
          <w:rFonts w:cs="Arial"/>
          <w:spacing w:val="0"/>
          <w:lang w:eastAsia="en-GB"/>
        </w:rPr>
      </w:pPr>
    </w:p>
    <w:p w14:paraId="17175675" w14:textId="77777777" w:rsidR="00CF69B5" w:rsidRPr="00696A5D" w:rsidRDefault="00A724BF" w:rsidP="00B279C0">
      <w:pPr>
        <w:numPr>
          <w:ilvl w:val="0"/>
          <w:numId w:val="36"/>
        </w:numPr>
        <w:tabs>
          <w:tab w:val="clear" w:pos="363"/>
          <w:tab w:val="num" w:pos="1072"/>
        </w:tabs>
        <w:ind w:left="1072" w:right="14"/>
        <w:jc w:val="both"/>
        <w:rPr>
          <w:rFonts w:cs="Arial"/>
          <w:spacing w:val="0"/>
          <w:lang w:eastAsia="en-GB"/>
        </w:rPr>
      </w:pPr>
      <w:r w:rsidRPr="00696A5D">
        <w:rPr>
          <w:rFonts w:cs="Arial"/>
          <w:spacing w:val="0"/>
          <w:lang w:eastAsia="en-GB"/>
        </w:rPr>
        <w:t>Ledger reconciliation</w:t>
      </w:r>
    </w:p>
    <w:p w14:paraId="755C8956" w14:textId="77777777" w:rsidR="00CF69B5" w:rsidRPr="00696A5D" w:rsidRDefault="00CF69B5" w:rsidP="00CF69B5">
      <w:pPr>
        <w:ind w:left="709" w:right="14"/>
        <w:jc w:val="both"/>
        <w:rPr>
          <w:rFonts w:cs="Arial"/>
          <w:spacing w:val="0"/>
          <w:lang w:eastAsia="en-GB"/>
        </w:rPr>
      </w:pPr>
    </w:p>
    <w:p w14:paraId="7A0DA957" w14:textId="77777777" w:rsidR="00CF69B5" w:rsidRPr="00696A5D" w:rsidRDefault="00A724BF" w:rsidP="00B279C0">
      <w:pPr>
        <w:numPr>
          <w:ilvl w:val="0"/>
          <w:numId w:val="36"/>
        </w:numPr>
        <w:tabs>
          <w:tab w:val="clear" w:pos="363"/>
          <w:tab w:val="num" w:pos="1072"/>
        </w:tabs>
        <w:ind w:left="1072" w:right="14"/>
        <w:jc w:val="both"/>
        <w:rPr>
          <w:rFonts w:cs="Arial"/>
          <w:spacing w:val="0"/>
          <w:lang w:eastAsia="en-GB"/>
        </w:rPr>
      </w:pPr>
      <w:r w:rsidRPr="00696A5D">
        <w:rPr>
          <w:rFonts w:cs="Arial"/>
          <w:spacing w:val="0"/>
          <w:lang w:eastAsia="en-GB"/>
        </w:rPr>
        <w:t xml:space="preserve">Performance management information </w:t>
      </w:r>
    </w:p>
    <w:p w14:paraId="79266D9B" w14:textId="77777777" w:rsidR="00CF69B5" w:rsidRPr="00696A5D" w:rsidRDefault="00CF69B5" w:rsidP="00CF69B5">
      <w:pPr>
        <w:keepNext/>
        <w:widowControl w:val="0"/>
        <w:numPr>
          <w:ilvl w:val="12"/>
          <w:numId w:val="0"/>
        </w:numPr>
        <w:tabs>
          <w:tab w:val="left" w:pos="360"/>
        </w:tabs>
        <w:ind w:left="142"/>
        <w:jc w:val="both"/>
        <w:rPr>
          <w:rFonts w:cs="Arial"/>
        </w:rPr>
      </w:pPr>
    </w:p>
    <w:p w14:paraId="5247CF04" w14:textId="77777777" w:rsidR="00CF69B5" w:rsidRPr="00696A5D" w:rsidRDefault="00A724BF" w:rsidP="009F4CF9">
      <w:pPr>
        <w:pStyle w:val="Subheading"/>
        <w:rPr>
          <w:sz w:val="20"/>
          <w:szCs w:val="20"/>
          <w:lang w:eastAsia="en-GB"/>
        </w:rPr>
      </w:pPr>
      <w:r w:rsidRPr="00696A5D">
        <w:rPr>
          <w:sz w:val="20"/>
          <w:szCs w:val="20"/>
          <w:lang w:eastAsia="en-GB"/>
        </w:rPr>
        <w:t>TMP4 Approved instruments, methods and techniques</w:t>
      </w:r>
    </w:p>
    <w:p w14:paraId="27DDA219" w14:textId="77777777" w:rsidR="00CF69B5" w:rsidRPr="00696A5D" w:rsidRDefault="00CF69B5" w:rsidP="00CF69B5">
      <w:pPr>
        <w:ind w:left="187"/>
        <w:rPr>
          <w:rFonts w:cs="Arial"/>
          <w:b/>
          <w:spacing w:val="0"/>
          <w:lang w:eastAsia="en-GB"/>
        </w:rPr>
      </w:pPr>
    </w:p>
    <w:p w14:paraId="7CA06428" w14:textId="77777777" w:rsidR="00CF69B5" w:rsidRPr="00696A5D" w:rsidRDefault="00A724BF" w:rsidP="00CF69B5">
      <w:pPr>
        <w:rPr>
          <w:rFonts w:cs="Arial"/>
          <w:spacing w:val="0"/>
          <w:lang w:eastAsia="en-GB"/>
        </w:rPr>
      </w:pPr>
      <w:r w:rsidRPr="00696A5D">
        <w:rPr>
          <w:rFonts w:cs="Arial"/>
          <w:spacing w:val="0"/>
          <w:lang w:eastAsia="en-GB"/>
        </w:rPr>
        <w:t xml:space="preserve">Epsom &amp; Ewell Borough Council will undertake its treasury management activities by employing only those instruments, methods and techniques detailed in the Treasury Management Strategy and within the limits and parameters defined. </w:t>
      </w:r>
    </w:p>
    <w:p w14:paraId="302F52E2" w14:textId="77777777" w:rsidR="00CF69B5" w:rsidRPr="00696A5D" w:rsidRDefault="00A724BF" w:rsidP="009F4CF9">
      <w:pPr>
        <w:pStyle w:val="Subheading"/>
        <w:rPr>
          <w:b w:val="0"/>
          <w:sz w:val="20"/>
          <w:szCs w:val="20"/>
          <w:lang w:eastAsia="en-GB"/>
        </w:rPr>
      </w:pPr>
      <w:r w:rsidRPr="00696A5D">
        <w:rPr>
          <w:sz w:val="20"/>
          <w:szCs w:val="20"/>
          <w:lang w:eastAsia="en-GB"/>
        </w:rPr>
        <w:t xml:space="preserve">TMP5 Organisation, clarity and segregation of responsibilities and dealing arrangements </w:t>
      </w:r>
    </w:p>
    <w:p w14:paraId="228B87CA" w14:textId="77777777" w:rsidR="00CF69B5" w:rsidRPr="00696A5D" w:rsidRDefault="00CF69B5" w:rsidP="00CF69B5">
      <w:pPr>
        <w:ind w:left="187" w:firstLine="7"/>
        <w:rPr>
          <w:rFonts w:cs="Arial"/>
          <w:b/>
          <w:spacing w:val="0"/>
          <w:lang w:eastAsia="en-GB"/>
        </w:rPr>
      </w:pPr>
    </w:p>
    <w:p w14:paraId="5DE50222" w14:textId="77777777" w:rsidR="00CF69B5" w:rsidRPr="00696A5D" w:rsidRDefault="00A724BF" w:rsidP="00CF69B5">
      <w:pPr>
        <w:spacing w:after="90"/>
        <w:ind w:right="11"/>
        <w:jc w:val="both"/>
        <w:rPr>
          <w:rFonts w:cs="Arial"/>
          <w:b/>
          <w:spacing w:val="0"/>
          <w:lang w:eastAsia="en-GB"/>
        </w:rPr>
      </w:pPr>
      <w:r w:rsidRPr="00696A5D">
        <w:rPr>
          <w:rFonts w:cs="Arial"/>
          <w:b/>
          <w:spacing w:val="0"/>
          <w:lang w:eastAsia="en-GB"/>
        </w:rPr>
        <w:t>Allocation of responsibilities</w:t>
      </w:r>
    </w:p>
    <w:p w14:paraId="358FC392" w14:textId="77777777" w:rsidR="00CF69B5" w:rsidRPr="00696A5D" w:rsidRDefault="00CF69B5" w:rsidP="00CF69B5">
      <w:pPr>
        <w:ind w:left="360" w:right="14"/>
        <w:jc w:val="both"/>
        <w:rPr>
          <w:rFonts w:cs="Arial"/>
          <w:spacing w:val="0"/>
          <w:lang w:eastAsia="en-GB"/>
        </w:rPr>
      </w:pPr>
    </w:p>
    <w:p w14:paraId="674E7D1F" w14:textId="77777777" w:rsidR="00CF69B5" w:rsidRPr="00696A5D" w:rsidRDefault="00A724BF" w:rsidP="00CF69B5">
      <w:pPr>
        <w:spacing w:after="90"/>
        <w:ind w:right="11"/>
        <w:jc w:val="both"/>
        <w:rPr>
          <w:rFonts w:cs="Arial"/>
          <w:b/>
          <w:spacing w:val="0"/>
          <w:lang w:eastAsia="en-GB"/>
        </w:rPr>
      </w:pPr>
      <w:r w:rsidRPr="00696A5D">
        <w:rPr>
          <w:rFonts w:cs="Arial"/>
          <w:b/>
          <w:spacing w:val="0"/>
          <w:lang w:eastAsia="en-GB"/>
        </w:rPr>
        <w:t>(</w:t>
      </w:r>
      <w:proofErr w:type="spellStart"/>
      <w:r w:rsidRPr="00696A5D">
        <w:rPr>
          <w:rFonts w:cs="Arial"/>
          <w:b/>
          <w:spacing w:val="0"/>
          <w:lang w:eastAsia="en-GB"/>
        </w:rPr>
        <w:t>i</w:t>
      </w:r>
      <w:proofErr w:type="spellEnd"/>
      <w:r w:rsidRPr="00696A5D">
        <w:rPr>
          <w:rFonts w:cs="Arial"/>
          <w:b/>
          <w:spacing w:val="0"/>
          <w:lang w:eastAsia="en-GB"/>
        </w:rPr>
        <w:t>)</w:t>
      </w:r>
      <w:r w:rsidRPr="00696A5D">
        <w:rPr>
          <w:rFonts w:cs="Arial"/>
          <w:b/>
          <w:spacing w:val="0"/>
          <w:lang w:eastAsia="en-GB"/>
        </w:rPr>
        <w:tab/>
        <w:t xml:space="preserve">Full </w:t>
      </w:r>
      <w:r w:rsidR="00E9208F" w:rsidRPr="00696A5D">
        <w:rPr>
          <w:rFonts w:cs="Arial"/>
          <w:b/>
          <w:spacing w:val="0"/>
          <w:lang w:eastAsia="en-GB"/>
        </w:rPr>
        <w:t>C</w:t>
      </w:r>
      <w:r w:rsidRPr="00696A5D">
        <w:rPr>
          <w:rFonts w:cs="Arial"/>
          <w:b/>
          <w:spacing w:val="0"/>
          <w:lang w:eastAsia="en-GB"/>
        </w:rPr>
        <w:t>ouncil</w:t>
      </w:r>
    </w:p>
    <w:p w14:paraId="4922FA3C" w14:textId="77777777" w:rsidR="00CF69B5" w:rsidRPr="00696A5D" w:rsidRDefault="00A724BF" w:rsidP="00B279C0">
      <w:pPr>
        <w:numPr>
          <w:ilvl w:val="0"/>
          <w:numId w:val="28"/>
        </w:numPr>
        <w:spacing w:before="120"/>
        <w:ind w:left="1077" w:right="11" w:hanging="357"/>
        <w:jc w:val="both"/>
        <w:rPr>
          <w:rFonts w:cs="Arial"/>
          <w:spacing w:val="0"/>
          <w:lang w:eastAsia="en-GB"/>
        </w:rPr>
      </w:pPr>
      <w:r w:rsidRPr="00696A5D">
        <w:rPr>
          <w:rFonts w:cs="Arial"/>
          <w:spacing w:val="0"/>
          <w:lang w:eastAsia="en-GB"/>
        </w:rPr>
        <w:t>approval of annual treasury management strategy.</w:t>
      </w:r>
    </w:p>
    <w:p w14:paraId="5DE69FD2" w14:textId="77777777" w:rsidR="00CF69B5" w:rsidRPr="00696A5D" w:rsidRDefault="00CF69B5" w:rsidP="00CF69B5">
      <w:pPr>
        <w:ind w:left="360" w:right="14"/>
        <w:jc w:val="both"/>
        <w:rPr>
          <w:rFonts w:cs="Arial"/>
          <w:spacing w:val="0"/>
          <w:lang w:eastAsia="en-GB"/>
        </w:rPr>
      </w:pPr>
    </w:p>
    <w:p w14:paraId="738E14D3" w14:textId="77777777" w:rsidR="00E9208F" w:rsidRPr="00696A5D" w:rsidRDefault="00A724BF" w:rsidP="00E9208F">
      <w:pPr>
        <w:spacing w:after="90"/>
        <w:ind w:right="11"/>
        <w:jc w:val="both"/>
        <w:rPr>
          <w:rFonts w:cs="Arial"/>
          <w:b/>
          <w:spacing w:val="0"/>
          <w:lang w:eastAsia="en-GB"/>
        </w:rPr>
      </w:pPr>
      <w:r w:rsidRPr="00696A5D">
        <w:rPr>
          <w:rFonts w:cs="Arial"/>
          <w:b/>
          <w:spacing w:val="0"/>
          <w:lang w:eastAsia="en-GB"/>
        </w:rPr>
        <w:t>(ii)</w:t>
      </w:r>
      <w:r w:rsidRPr="00696A5D">
        <w:rPr>
          <w:rFonts w:cs="Arial"/>
          <w:b/>
          <w:spacing w:val="0"/>
          <w:lang w:eastAsia="en-GB"/>
        </w:rPr>
        <w:tab/>
        <w:t>Financial Policy Panel</w:t>
      </w:r>
    </w:p>
    <w:p w14:paraId="2CC1E52E" w14:textId="77777777" w:rsidR="00E9208F" w:rsidRPr="00696A5D" w:rsidRDefault="00A724BF" w:rsidP="00E9208F">
      <w:pPr>
        <w:numPr>
          <w:ilvl w:val="0"/>
          <w:numId w:val="29"/>
        </w:numPr>
        <w:spacing w:before="120"/>
        <w:ind w:left="1077" w:right="11" w:hanging="357"/>
        <w:jc w:val="both"/>
        <w:rPr>
          <w:rFonts w:cs="Arial"/>
          <w:spacing w:val="0"/>
          <w:lang w:eastAsia="en-GB"/>
        </w:rPr>
      </w:pPr>
      <w:r w:rsidRPr="00696A5D">
        <w:rPr>
          <w:rFonts w:cs="Arial"/>
          <w:spacing w:val="0"/>
          <w:lang w:eastAsia="en-GB"/>
        </w:rPr>
        <w:t>reviewing and advising on the treasury management strategy prior to approval at Full Council</w:t>
      </w:r>
    </w:p>
    <w:p w14:paraId="2581D960" w14:textId="77777777" w:rsidR="00CF69B5" w:rsidRPr="00696A5D" w:rsidRDefault="00CF69B5" w:rsidP="00CF69B5">
      <w:pPr>
        <w:ind w:left="360" w:right="14"/>
        <w:jc w:val="both"/>
        <w:rPr>
          <w:rFonts w:cs="Arial"/>
          <w:spacing w:val="0"/>
          <w:lang w:eastAsia="en-GB"/>
        </w:rPr>
      </w:pPr>
    </w:p>
    <w:p w14:paraId="017CEC2E" w14:textId="77777777" w:rsidR="00E9208F" w:rsidRPr="00696A5D" w:rsidRDefault="00A724BF" w:rsidP="00E9208F">
      <w:pPr>
        <w:spacing w:after="90"/>
        <w:ind w:right="11"/>
        <w:jc w:val="both"/>
        <w:rPr>
          <w:rFonts w:cs="Arial"/>
          <w:b/>
          <w:spacing w:val="0"/>
          <w:lang w:eastAsia="en-GB"/>
        </w:rPr>
      </w:pPr>
      <w:r w:rsidRPr="00696A5D">
        <w:rPr>
          <w:rFonts w:cs="Arial"/>
          <w:b/>
          <w:spacing w:val="0"/>
          <w:lang w:eastAsia="en-GB"/>
        </w:rPr>
        <w:t>(iii)</w:t>
      </w:r>
      <w:r w:rsidRPr="00696A5D">
        <w:rPr>
          <w:rFonts w:cs="Arial"/>
          <w:b/>
          <w:spacing w:val="0"/>
          <w:lang w:eastAsia="en-GB"/>
        </w:rPr>
        <w:tab/>
        <w:t>Audit &amp; Scrutiny Committee</w:t>
      </w:r>
    </w:p>
    <w:p w14:paraId="307D4BF2" w14:textId="77777777" w:rsidR="00E9208F" w:rsidRPr="00696A5D" w:rsidRDefault="00A724BF" w:rsidP="00E9208F">
      <w:pPr>
        <w:numPr>
          <w:ilvl w:val="0"/>
          <w:numId w:val="29"/>
        </w:numPr>
        <w:spacing w:before="120"/>
        <w:ind w:left="1077" w:right="11" w:hanging="357"/>
        <w:jc w:val="both"/>
        <w:rPr>
          <w:rFonts w:cs="Arial"/>
          <w:spacing w:val="0"/>
          <w:lang w:eastAsia="en-GB"/>
        </w:rPr>
      </w:pPr>
      <w:r w:rsidRPr="00696A5D">
        <w:rPr>
          <w:rFonts w:cs="Arial"/>
          <w:spacing w:val="0"/>
          <w:lang w:eastAsia="en-GB"/>
        </w:rPr>
        <w:t>receiving and reviewing reports on treasury management policies, performance and activities</w:t>
      </w:r>
    </w:p>
    <w:p w14:paraId="51D75556" w14:textId="77777777" w:rsidR="00E9208F" w:rsidRPr="00696A5D" w:rsidRDefault="00E9208F" w:rsidP="00E9208F">
      <w:pPr>
        <w:ind w:left="720" w:right="14"/>
        <w:jc w:val="both"/>
        <w:rPr>
          <w:rFonts w:cs="Arial"/>
          <w:spacing w:val="0"/>
          <w:lang w:eastAsia="en-GB"/>
        </w:rPr>
      </w:pPr>
    </w:p>
    <w:p w14:paraId="4CF1A217" w14:textId="77777777" w:rsidR="00E9208F" w:rsidRPr="00696A5D" w:rsidRDefault="00A724BF" w:rsidP="00E9208F">
      <w:pPr>
        <w:numPr>
          <w:ilvl w:val="0"/>
          <w:numId w:val="29"/>
        </w:numPr>
        <w:ind w:right="14"/>
        <w:jc w:val="both"/>
        <w:rPr>
          <w:rFonts w:cs="Arial"/>
          <w:spacing w:val="0"/>
          <w:lang w:eastAsia="en-GB"/>
        </w:rPr>
      </w:pPr>
      <w:r w:rsidRPr="00696A5D">
        <w:rPr>
          <w:rFonts w:cs="Arial"/>
          <w:spacing w:val="0"/>
          <w:lang w:eastAsia="en-GB"/>
        </w:rPr>
        <w:t>approval of amendments to the organisation’s adopted clauses, treasury management policy statement and treasury management practices</w:t>
      </w:r>
    </w:p>
    <w:p w14:paraId="6CE4266B" w14:textId="77777777" w:rsidR="00E9208F" w:rsidRPr="00696A5D" w:rsidRDefault="00E9208F" w:rsidP="00E9208F">
      <w:pPr>
        <w:ind w:left="720" w:right="14"/>
        <w:jc w:val="both"/>
        <w:rPr>
          <w:rFonts w:cs="Arial"/>
          <w:spacing w:val="0"/>
          <w:lang w:eastAsia="en-GB"/>
        </w:rPr>
      </w:pPr>
    </w:p>
    <w:p w14:paraId="07A2BD74" w14:textId="77777777" w:rsidR="00E9208F" w:rsidRPr="00696A5D" w:rsidRDefault="00A724BF" w:rsidP="00E9208F">
      <w:pPr>
        <w:numPr>
          <w:ilvl w:val="0"/>
          <w:numId w:val="29"/>
        </w:numPr>
        <w:ind w:right="14"/>
        <w:jc w:val="both"/>
        <w:rPr>
          <w:rFonts w:cs="Arial"/>
          <w:spacing w:val="0"/>
          <w:lang w:eastAsia="en-GB"/>
        </w:rPr>
      </w:pPr>
      <w:r w:rsidRPr="00696A5D">
        <w:rPr>
          <w:rFonts w:cs="Arial"/>
          <w:spacing w:val="0"/>
          <w:lang w:eastAsia="en-GB"/>
        </w:rPr>
        <w:t>receiving and reviewing annual monitoring reports and acting on recommendations</w:t>
      </w:r>
    </w:p>
    <w:p w14:paraId="094AB1E2" w14:textId="77777777" w:rsidR="00E9208F" w:rsidRPr="00696A5D" w:rsidRDefault="00E9208F" w:rsidP="00E9208F">
      <w:pPr>
        <w:ind w:left="720" w:right="14"/>
        <w:jc w:val="both"/>
        <w:rPr>
          <w:rFonts w:cs="Arial"/>
          <w:spacing w:val="0"/>
          <w:lang w:eastAsia="en-GB"/>
        </w:rPr>
      </w:pPr>
    </w:p>
    <w:p w14:paraId="1196DB0F" w14:textId="77777777" w:rsidR="00E9208F" w:rsidRPr="00696A5D" w:rsidRDefault="00A724BF" w:rsidP="00E9208F">
      <w:pPr>
        <w:numPr>
          <w:ilvl w:val="0"/>
          <w:numId w:val="29"/>
        </w:numPr>
        <w:ind w:right="14"/>
        <w:jc w:val="both"/>
        <w:rPr>
          <w:rFonts w:cs="Arial"/>
          <w:spacing w:val="0"/>
          <w:lang w:eastAsia="en-GB"/>
        </w:rPr>
      </w:pPr>
      <w:r w:rsidRPr="00696A5D">
        <w:rPr>
          <w:rFonts w:cs="Arial"/>
          <w:spacing w:val="0"/>
          <w:lang w:eastAsia="en-GB"/>
        </w:rPr>
        <w:t>receiving and reviewing half yearly and annual performance monitoring report and acting on recommendations</w:t>
      </w:r>
    </w:p>
    <w:p w14:paraId="635E8B84" w14:textId="77777777" w:rsidR="00CF69B5" w:rsidRPr="00696A5D" w:rsidRDefault="00CF69B5" w:rsidP="00E9208F">
      <w:pPr>
        <w:spacing w:after="90"/>
        <w:ind w:right="11"/>
        <w:jc w:val="both"/>
        <w:rPr>
          <w:rFonts w:cs="Arial"/>
          <w:spacing w:val="0"/>
          <w:lang w:eastAsia="en-GB"/>
        </w:rPr>
      </w:pPr>
    </w:p>
    <w:p w14:paraId="3D1B2237" w14:textId="77777777" w:rsidR="00CF69B5" w:rsidRPr="00696A5D" w:rsidRDefault="00CF69B5" w:rsidP="00CF69B5">
      <w:pPr>
        <w:ind w:right="14"/>
        <w:jc w:val="both"/>
        <w:rPr>
          <w:rFonts w:cs="Arial"/>
          <w:spacing w:val="0"/>
          <w:lang w:eastAsia="en-GB"/>
        </w:rPr>
      </w:pPr>
    </w:p>
    <w:p w14:paraId="54FC7AF6" w14:textId="77777777" w:rsidR="00CF69B5" w:rsidRPr="00696A5D" w:rsidRDefault="00A724BF" w:rsidP="00CF69B5">
      <w:pPr>
        <w:ind w:right="14"/>
        <w:jc w:val="both"/>
        <w:rPr>
          <w:rFonts w:cs="Arial"/>
          <w:b/>
          <w:spacing w:val="0"/>
          <w:lang w:eastAsia="en-GB"/>
        </w:rPr>
      </w:pPr>
      <w:r w:rsidRPr="00696A5D">
        <w:rPr>
          <w:rFonts w:cs="Arial"/>
          <w:b/>
          <w:spacing w:val="0"/>
          <w:lang w:eastAsia="en-GB"/>
        </w:rPr>
        <w:t>(iv)</w:t>
      </w:r>
      <w:r w:rsidRPr="00696A5D">
        <w:rPr>
          <w:rFonts w:cs="Arial"/>
          <w:b/>
          <w:spacing w:val="0"/>
          <w:lang w:eastAsia="en-GB"/>
        </w:rPr>
        <w:tab/>
        <w:t>Chief Finance Officer</w:t>
      </w:r>
    </w:p>
    <w:p w14:paraId="7506072E" w14:textId="77777777" w:rsidR="00CF69B5" w:rsidRPr="00696A5D" w:rsidRDefault="00A724BF" w:rsidP="00B279C0">
      <w:pPr>
        <w:numPr>
          <w:ilvl w:val="0"/>
          <w:numId w:val="30"/>
        </w:numPr>
        <w:spacing w:before="120"/>
        <w:ind w:left="1077" w:right="11" w:hanging="357"/>
        <w:jc w:val="both"/>
        <w:rPr>
          <w:rFonts w:cs="Arial"/>
          <w:spacing w:val="0"/>
          <w:lang w:eastAsia="en-GB"/>
        </w:rPr>
      </w:pPr>
      <w:r w:rsidRPr="00696A5D">
        <w:rPr>
          <w:rFonts w:cs="Arial"/>
          <w:spacing w:val="0"/>
          <w:lang w:eastAsia="en-GB"/>
        </w:rPr>
        <w:t>reviewing the treasury management policy and procedures and making recommendations to the responsible body.</w:t>
      </w:r>
    </w:p>
    <w:p w14:paraId="034E6B6C" w14:textId="77777777" w:rsidR="00CF69B5" w:rsidRPr="00696A5D" w:rsidRDefault="00CF69B5" w:rsidP="00CF69B5">
      <w:pPr>
        <w:ind w:right="14"/>
        <w:jc w:val="both"/>
        <w:rPr>
          <w:rFonts w:cs="Arial"/>
          <w:spacing w:val="0"/>
          <w:lang w:eastAsia="en-GB"/>
        </w:rPr>
      </w:pPr>
    </w:p>
    <w:p w14:paraId="727BBD83" w14:textId="77777777" w:rsidR="00CF69B5" w:rsidRPr="00696A5D" w:rsidRDefault="00A724BF" w:rsidP="00CF69B5">
      <w:pPr>
        <w:spacing w:after="90"/>
        <w:ind w:right="11"/>
        <w:jc w:val="both"/>
        <w:rPr>
          <w:rFonts w:cs="Arial"/>
          <w:b/>
          <w:spacing w:val="0"/>
          <w:lang w:eastAsia="en-GB"/>
        </w:rPr>
      </w:pPr>
      <w:r w:rsidRPr="00696A5D">
        <w:rPr>
          <w:rFonts w:cs="Arial"/>
          <w:b/>
          <w:spacing w:val="0"/>
          <w:lang w:eastAsia="en-GB"/>
        </w:rPr>
        <w:t>Principles and Practices Concerning Segregation of Duties</w:t>
      </w:r>
    </w:p>
    <w:p w14:paraId="10223C09" w14:textId="77777777" w:rsidR="00CF69B5" w:rsidRPr="00696A5D" w:rsidRDefault="00CF69B5" w:rsidP="00CF69B5">
      <w:pPr>
        <w:ind w:right="11"/>
        <w:jc w:val="both"/>
        <w:rPr>
          <w:rFonts w:cs="Arial"/>
          <w:spacing w:val="0"/>
          <w:lang w:eastAsia="en-GB"/>
        </w:rPr>
      </w:pPr>
    </w:p>
    <w:p w14:paraId="0C65EFFA" w14:textId="77777777" w:rsidR="00CF69B5" w:rsidRPr="00696A5D" w:rsidRDefault="00A724BF" w:rsidP="00CF69B5">
      <w:pPr>
        <w:ind w:right="11"/>
        <w:jc w:val="both"/>
        <w:rPr>
          <w:rFonts w:cs="Arial"/>
          <w:spacing w:val="0"/>
          <w:lang w:eastAsia="en-GB"/>
        </w:rPr>
      </w:pPr>
      <w:r w:rsidRPr="00696A5D">
        <w:rPr>
          <w:rFonts w:cs="Arial"/>
          <w:spacing w:val="0"/>
          <w:lang w:eastAsia="en-GB"/>
        </w:rPr>
        <w:t>The following duties must be undertaken by separate officers: -</w:t>
      </w:r>
    </w:p>
    <w:p w14:paraId="3DB400F8" w14:textId="77777777" w:rsidR="00CF69B5" w:rsidRPr="00696A5D" w:rsidRDefault="00CF69B5" w:rsidP="00CF69B5">
      <w:pPr>
        <w:ind w:right="11"/>
        <w:jc w:val="both"/>
        <w:rPr>
          <w:rFonts w:cs="Arial"/>
          <w:spacing w:val="0"/>
          <w:lang w:eastAsia="en-GB"/>
        </w:rPr>
      </w:pPr>
    </w:p>
    <w:tbl>
      <w:tblPr>
        <w:tblW w:w="8363" w:type="dxa"/>
        <w:tblInd w:w="817" w:type="dxa"/>
        <w:tblLayout w:type="fixed"/>
        <w:tblLook w:val="04A0" w:firstRow="1" w:lastRow="0" w:firstColumn="1" w:lastColumn="0" w:noHBand="0" w:noVBand="1"/>
      </w:tblPr>
      <w:tblGrid>
        <w:gridCol w:w="2835"/>
        <w:gridCol w:w="5528"/>
      </w:tblGrid>
      <w:tr w:rsidR="002252C6" w14:paraId="7C3C12C7" w14:textId="77777777" w:rsidTr="00C30484">
        <w:trPr>
          <w:trHeight w:val="678"/>
        </w:trPr>
        <w:tc>
          <w:tcPr>
            <w:tcW w:w="2835" w:type="dxa"/>
            <w:vAlign w:val="center"/>
          </w:tcPr>
          <w:p w14:paraId="3D95F7F2" w14:textId="77777777" w:rsidR="00CF69B5" w:rsidRPr="00696A5D" w:rsidRDefault="00A724BF" w:rsidP="00C30484">
            <w:pPr>
              <w:spacing w:before="120"/>
              <w:ind w:left="263" w:right="14"/>
              <w:rPr>
                <w:rFonts w:cs="Arial"/>
                <w:color w:val="000000" w:themeColor="text1"/>
                <w:spacing w:val="0"/>
              </w:rPr>
            </w:pPr>
            <w:r w:rsidRPr="00696A5D">
              <w:rPr>
                <w:rFonts w:cs="Arial"/>
                <w:color w:val="000000" w:themeColor="text1"/>
                <w:spacing w:val="0"/>
                <w:lang w:eastAsia="en-GB"/>
              </w:rPr>
              <w:t xml:space="preserve">Dealing </w:t>
            </w:r>
          </w:p>
          <w:p w14:paraId="3D55CE30" w14:textId="77777777" w:rsidR="00CF69B5" w:rsidRPr="00696A5D" w:rsidRDefault="00CF69B5" w:rsidP="00C30484">
            <w:pPr>
              <w:spacing w:before="120"/>
              <w:ind w:right="14"/>
              <w:rPr>
                <w:rFonts w:cs="Arial"/>
                <w:color w:val="000000" w:themeColor="text1"/>
                <w:spacing w:val="0"/>
              </w:rPr>
            </w:pPr>
          </w:p>
        </w:tc>
        <w:tc>
          <w:tcPr>
            <w:tcW w:w="5528" w:type="dxa"/>
            <w:vAlign w:val="center"/>
          </w:tcPr>
          <w:p w14:paraId="1FD3E806" w14:textId="77777777" w:rsidR="00CF69B5" w:rsidRPr="00696A5D" w:rsidRDefault="00A724BF" w:rsidP="00C30484">
            <w:pPr>
              <w:spacing w:before="45"/>
              <w:ind w:left="72" w:right="15"/>
              <w:rPr>
                <w:rFonts w:cs="Arial"/>
                <w:color w:val="000000" w:themeColor="text1"/>
                <w:spacing w:val="0"/>
              </w:rPr>
            </w:pPr>
            <w:r w:rsidRPr="00696A5D">
              <w:rPr>
                <w:rFonts w:cs="Arial"/>
                <w:color w:val="000000" w:themeColor="text1"/>
                <w:spacing w:val="0"/>
                <w:lang w:eastAsia="en-GB"/>
              </w:rPr>
              <w:t>Negotiation and approval of deal. (Dealer 1)</w:t>
            </w:r>
          </w:p>
          <w:p w14:paraId="1F78E6D4" w14:textId="77777777" w:rsidR="00CF69B5" w:rsidRPr="00696A5D" w:rsidRDefault="00A724BF" w:rsidP="00C30484">
            <w:pPr>
              <w:spacing w:before="45"/>
              <w:ind w:left="57" w:right="15"/>
              <w:rPr>
                <w:rFonts w:cs="Arial"/>
                <w:color w:val="000000" w:themeColor="text1"/>
                <w:spacing w:val="0"/>
              </w:rPr>
            </w:pPr>
            <w:r w:rsidRPr="00696A5D">
              <w:rPr>
                <w:rFonts w:cs="Arial"/>
                <w:color w:val="000000" w:themeColor="text1"/>
                <w:spacing w:val="0"/>
                <w:lang w:eastAsia="en-GB"/>
              </w:rPr>
              <w:t>Production of transfer note. (Dealer 1)</w:t>
            </w:r>
          </w:p>
        </w:tc>
      </w:tr>
      <w:tr w:rsidR="002252C6" w14:paraId="072EED0F" w14:textId="77777777" w:rsidTr="00C30484">
        <w:trPr>
          <w:trHeight w:val="633"/>
        </w:trPr>
        <w:tc>
          <w:tcPr>
            <w:tcW w:w="2835" w:type="dxa"/>
            <w:vAlign w:val="center"/>
          </w:tcPr>
          <w:p w14:paraId="27A94C3D" w14:textId="77777777" w:rsidR="00CF69B5" w:rsidRPr="00696A5D" w:rsidRDefault="00A724BF" w:rsidP="00C30484">
            <w:pPr>
              <w:spacing w:before="120"/>
              <w:ind w:left="263" w:right="14"/>
              <w:rPr>
                <w:rFonts w:cs="Arial"/>
                <w:color w:val="000000" w:themeColor="text1"/>
                <w:spacing w:val="0"/>
                <w:lang w:eastAsia="en-GB"/>
              </w:rPr>
            </w:pPr>
            <w:r w:rsidRPr="00696A5D">
              <w:rPr>
                <w:rFonts w:cs="Arial"/>
                <w:color w:val="000000" w:themeColor="text1"/>
                <w:spacing w:val="0"/>
                <w:lang w:eastAsia="en-GB"/>
              </w:rPr>
              <w:t>Bank</w:t>
            </w:r>
          </w:p>
        </w:tc>
        <w:tc>
          <w:tcPr>
            <w:tcW w:w="5528" w:type="dxa"/>
            <w:vAlign w:val="center"/>
          </w:tcPr>
          <w:p w14:paraId="24DE8206" w14:textId="77777777" w:rsidR="00CF69B5" w:rsidRPr="00696A5D" w:rsidRDefault="00A724BF" w:rsidP="00C30484">
            <w:pPr>
              <w:spacing w:before="45"/>
              <w:ind w:left="72" w:right="15"/>
              <w:rPr>
                <w:rFonts w:cs="Arial"/>
                <w:color w:val="000000" w:themeColor="text1"/>
                <w:spacing w:val="0"/>
                <w:lang w:eastAsia="en-GB"/>
              </w:rPr>
            </w:pPr>
            <w:r w:rsidRPr="00696A5D">
              <w:rPr>
                <w:rFonts w:cs="Arial"/>
                <w:color w:val="000000" w:themeColor="text1"/>
                <w:spacing w:val="0"/>
                <w:lang w:eastAsia="en-GB"/>
              </w:rPr>
              <w:t>Entry of transaction onto bank (Finance Officer)</w:t>
            </w:r>
          </w:p>
        </w:tc>
      </w:tr>
      <w:tr w:rsidR="002252C6" w14:paraId="40F8D29F" w14:textId="77777777" w:rsidTr="00C30484">
        <w:trPr>
          <w:trHeight w:val="633"/>
        </w:trPr>
        <w:tc>
          <w:tcPr>
            <w:tcW w:w="2835" w:type="dxa"/>
            <w:vAlign w:val="center"/>
          </w:tcPr>
          <w:p w14:paraId="2E4919DD" w14:textId="77777777" w:rsidR="00CF69B5" w:rsidRPr="00696A5D" w:rsidRDefault="00A724BF" w:rsidP="00C30484">
            <w:pPr>
              <w:spacing w:before="120"/>
              <w:ind w:left="263" w:right="14"/>
              <w:rPr>
                <w:rFonts w:cs="Arial"/>
                <w:color w:val="000000" w:themeColor="text1"/>
                <w:spacing w:val="0"/>
                <w:lang w:eastAsia="en-GB"/>
              </w:rPr>
            </w:pPr>
            <w:r w:rsidRPr="00696A5D">
              <w:rPr>
                <w:rFonts w:cs="Arial"/>
                <w:color w:val="000000" w:themeColor="text1"/>
                <w:spacing w:val="0"/>
                <w:lang w:eastAsia="en-GB"/>
              </w:rPr>
              <w:t>Authorisation/Payment of Deal</w:t>
            </w:r>
          </w:p>
        </w:tc>
        <w:tc>
          <w:tcPr>
            <w:tcW w:w="5528" w:type="dxa"/>
            <w:vAlign w:val="center"/>
          </w:tcPr>
          <w:p w14:paraId="4571FCB7" w14:textId="77777777" w:rsidR="00CF69B5" w:rsidRPr="00696A5D" w:rsidRDefault="00A724BF" w:rsidP="00C30484">
            <w:pPr>
              <w:spacing w:before="45"/>
              <w:ind w:left="72" w:right="15"/>
              <w:rPr>
                <w:rFonts w:cs="Arial"/>
                <w:color w:val="000000" w:themeColor="text1"/>
                <w:spacing w:val="0"/>
                <w:lang w:eastAsia="en-GB"/>
              </w:rPr>
            </w:pPr>
            <w:r w:rsidRPr="00696A5D">
              <w:rPr>
                <w:rFonts w:cs="Arial"/>
                <w:color w:val="000000" w:themeColor="text1"/>
                <w:spacing w:val="0"/>
                <w:lang w:eastAsia="en-GB"/>
              </w:rPr>
              <w:t>Approval and payment. (Dealer 2)</w:t>
            </w:r>
          </w:p>
        </w:tc>
      </w:tr>
      <w:tr w:rsidR="002252C6" w14:paraId="3E20A803" w14:textId="77777777" w:rsidTr="00C30484">
        <w:tc>
          <w:tcPr>
            <w:tcW w:w="2835" w:type="dxa"/>
            <w:vAlign w:val="center"/>
          </w:tcPr>
          <w:p w14:paraId="24B4E4F2" w14:textId="77777777" w:rsidR="00CF69B5" w:rsidRPr="00696A5D" w:rsidRDefault="00A724BF" w:rsidP="00C30484">
            <w:pPr>
              <w:spacing w:before="120"/>
              <w:ind w:left="263" w:right="14"/>
              <w:rPr>
                <w:rFonts w:cs="Arial"/>
                <w:color w:val="000000" w:themeColor="text1"/>
                <w:spacing w:val="0"/>
              </w:rPr>
            </w:pPr>
            <w:r w:rsidRPr="00696A5D">
              <w:rPr>
                <w:rFonts w:cs="Arial"/>
                <w:color w:val="000000" w:themeColor="text1"/>
                <w:spacing w:val="0"/>
                <w:lang w:eastAsia="en-GB"/>
              </w:rPr>
              <w:t>Accounting Entry</w:t>
            </w:r>
          </w:p>
        </w:tc>
        <w:tc>
          <w:tcPr>
            <w:tcW w:w="5528" w:type="dxa"/>
            <w:vAlign w:val="center"/>
          </w:tcPr>
          <w:p w14:paraId="4ABFE0D2" w14:textId="77777777" w:rsidR="00CF69B5" w:rsidRPr="00696A5D" w:rsidRDefault="00A724BF" w:rsidP="00C30484">
            <w:pPr>
              <w:spacing w:before="45"/>
              <w:ind w:left="57" w:right="15"/>
              <w:rPr>
                <w:rFonts w:cs="Arial"/>
                <w:color w:val="000000" w:themeColor="text1"/>
                <w:spacing w:val="0"/>
              </w:rPr>
            </w:pPr>
            <w:r w:rsidRPr="00696A5D">
              <w:rPr>
                <w:rFonts w:cs="Arial"/>
                <w:color w:val="000000" w:themeColor="text1"/>
                <w:spacing w:val="0"/>
                <w:lang w:eastAsia="en-GB"/>
              </w:rPr>
              <w:t>Processing of accounting entry (Exchequer Team)</w:t>
            </w:r>
          </w:p>
        </w:tc>
      </w:tr>
      <w:tr w:rsidR="002252C6" w14:paraId="4DD5A85D" w14:textId="77777777" w:rsidTr="00C30484">
        <w:tc>
          <w:tcPr>
            <w:tcW w:w="2835" w:type="dxa"/>
            <w:vAlign w:val="center"/>
          </w:tcPr>
          <w:p w14:paraId="05DA5F1F" w14:textId="77777777" w:rsidR="00CF69B5" w:rsidRPr="00696A5D" w:rsidRDefault="00CF69B5" w:rsidP="00C30484">
            <w:pPr>
              <w:spacing w:before="120"/>
              <w:ind w:left="263" w:right="14"/>
              <w:rPr>
                <w:rFonts w:cs="Arial"/>
                <w:color w:val="000000" w:themeColor="text1"/>
                <w:spacing w:val="0"/>
                <w:lang w:eastAsia="en-GB"/>
              </w:rPr>
            </w:pPr>
          </w:p>
          <w:p w14:paraId="257FEE8C" w14:textId="77777777" w:rsidR="00CF69B5" w:rsidRPr="00696A5D" w:rsidRDefault="00CF69B5" w:rsidP="00C30484">
            <w:pPr>
              <w:spacing w:before="120"/>
              <w:ind w:left="263" w:right="14"/>
              <w:rPr>
                <w:rFonts w:cs="Arial"/>
                <w:color w:val="000000" w:themeColor="text1"/>
                <w:spacing w:val="0"/>
                <w:lang w:eastAsia="en-GB"/>
              </w:rPr>
            </w:pPr>
          </w:p>
          <w:p w14:paraId="37EF32DF" w14:textId="77777777" w:rsidR="00CF69B5" w:rsidRPr="00696A5D" w:rsidRDefault="00A724BF" w:rsidP="00C30484">
            <w:pPr>
              <w:spacing w:before="120"/>
              <w:ind w:left="263" w:right="14"/>
              <w:rPr>
                <w:rFonts w:cs="Arial"/>
                <w:color w:val="000000" w:themeColor="text1"/>
                <w:spacing w:val="0"/>
                <w:lang w:eastAsia="en-GB"/>
              </w:rPr>
            </w:pPr>
            <w:r w:rsidRPr="00696A5D">
              <w:rPr>
                <w:rFonts w:cs="Arial"/>
                <w:color w:val="000000" w:themeColor="text1"/>
                <w:spacing w:val="0"/>
                <w:lang w:eastAsia="en-GB"/>
              </w:rPr>
              <w:t>Bank</w:t>
            </w:r>
          </w:p>
        </w:tc>
        <w:tc>
          <w:tcPr>
            <w:tcW w:w="5528" w:type="dxa"/>
            <w:vAlign w:val="center"/>
          </w:tcPr>
          <w:p w14:paraId="6E7F6FD3" w14:textId="77777777" w:rsidR="00CF69B5" w:rsidRPr="00696A5D" w:rsidRDefault="00A724BF" w:rsidP="00C30484">
            <w:pPr>
              <w:spacing w:before="45"/>
              <w:ind w:left="72" w:right="15"/>
              <w:rPr>
                <w:rFonts w:cs="Arial"/>
                <w:color w:val="000000" w:themeColor="text1"/>
                <w:spacing w:val="0"/>
                <w:lang w:eastAsia="en-GB"/>
              </w:rPr>
            </w:pPr>
            <w:r w:rsidRPr="00696A5D">
              <w:rPr>
                <w:rFonts w:cs="Arial"/>
                <w:color w:val="000000" w:themeColor="text1"/>
                <w:spacing w:val="0"/>
                <w:lang w:eastAsia="en-GB"/>
              </w:rPr>
              <w:t>Reconciliation of cash control account. (Exchequer Team)</w:t>
            </w:r>
          </w:p>
          <w:p w14:paraId="29F1D130" w14:textId="77777777" w:rsidR="00CF69B5" w:rsidRPr="00696A5D" w:rsidRDefault="00CF69B5" w:rsidP="00C30484">
            <w:pPr>
              <w:spacing w:before="45"/>
              <w:ind w:left="72" w:right="15"/>
              <w:rPr>
                <w:rFonts w:cs="Arial"/>
                <w:color w:val="000000" w:themeColor="text1"/>
                <w:spacing w:val="0"/>
                <w:lang w:eastAsia="en-GB"/>
              </w:rPr>
            </w:pPr>
          </w:p>
          <w:p w14:paraId="3CF2E8B1" w14:textId="77777777" w:rsidR="00CF69B5" w:rsidRPr="00696A5D" w:rsidRDefault="00A724BF" w:rsidP="00C30484">
            <w:pPr>
              <w:spacing w:before="45"/>
              <w:ind w:left="57" w:right="15"/>
              <w:rPr>
                <w:rFonts w:cs="Arial"/>
                <w:color w:val="000000" w:themeColor="text1"/>
                <w:spacing w:val="0"/>
                <w:lang w:eastAsia="en-GB"/>
              </w:rPr>
            </w:pPr>
            <w:r w:rsidRPr="00696A5D">
              <w:rPr>
                <w:rFonts w:cs="Arial"/>
                <w:color w:val="000000" w:themeColor="text1"/>
                <w:spacing w:val="0"/>
                <w:lang w:eastAsia="en-GB"/>
              </w:rPr>
              <w:t>Bank reconciliation (Exchequer Team)</w:t>
            </w:r>
          </w:p>
        </w:tc>
      </w:tr>
    </w:tbl>
    <w:p w14:paraId="18A8DE5D" w14:textId="77777777" w:rsidR="00CF69B5" w:rsidRPr="00696A5D" w:rsidRDefault="00CF69B5" w:rsidP="00CF69B5">
      <w:pPr>
        <w:ind w:right="14"/>
        <w:jc w:val="both"/>
        <w:rPr>
          <w:rFonts w:cs="Arial"/>
          <w:spacing w:val="0"/>
        </w:rPr>
      </w:pPr>
    </w:p>
    <w:p w14:paraId="216762D0" w14:textId="77777777" w:rsidR="00CF69B5" w:rsidRPr="00696A5D" w:rsidRDefault="00A724BF" w:rsidP="00CF69B5">
      <w:pPr>
        <w:ind w:right="11"/>
        <w:jc w:val="both"/>
        <w:rPr>
          <w:rFonts w:cs="Arial"/>
          <w:b/>
          <w:spacing w:val="0"/>
          <w:lang w:eastAsia="en-GB"/>
        </w:rPr>
      </w:pPr>
      <w:r w:rsidRPr="00696A5D">
        <w:rPr>
          <w:rFonts w:cs="Arial"/>
          <w:b/>
          <w:spacing w:val="0"/>
          <w:lang w:eastAsia="en-GB"/>
        </w:rPr>
        <w:t>Statement of the treasury management duties/responsibilities of each treasury post</w:t>
      </w:r>
    </w:p>
    <w:p w14:paraId="164694EA" w14:textId="77777777" w:rsidR="00CF69B5" w:rsidRPr="00696A5D" w:rsidRDefault="00CF69B5" w:rsidP="00CF69B5">
      <w:pPr>
        <w:ind w:right="11"/>
        <w:jc w:val="both"/>
        <w:rPr>
          <w:rFonts w:cs="Arial"/>
          <w:b/>
          <w:spacing w:val="0"/>
          <w:lang w:eastAsia="en-GB"/>
        </w:rPr>
      </w:pPr>
    </w:p>
    <w:p w14:paraId="2CCB9632" w14:textId="77777777" w:rsidR="00CF69B5" w:rsidRPr="00696A5D" w:rsidRDefault="00A724BF" w:rsidP="00CF69B5">
      <w:pPr>
        <w:ind w:right="11"/>
        <w:jc w:val="both"/>
        <w:rPr>
          <w:rFonts w:cs="Arial"/>
          <w:b/>
          <w:spacing w:val="0"/>
          <w:lang w:eastAsia="en-GB"/>
        </w:rPr>
      </w:pPr>
      <w:r w:rsidRPr="00696A5D">
        <w:rPr>
          <w:rFonts w:cs="Arial"/>
          <w:b/>
          <w:spacing w:val="0"/>
          <w:lang w:eastAsia="en-GB"/>
        </w:rPr>
        <w:t>The responsible officer</w:t>
      </w:r>
    </w:p>
    <w:p w14:paraId="194DD70E" w14:textId="77777777" w:rsidR="00CF69B5" w:rsidRPr="00696A5D" w:rsidRDefault="00CF69B5" w:rsidP="00CF69B5">
      <w:pPr>
        <w:ind w:right="11"/>
        <w:jc w:val="both"/>
        <w:rPr>
          <w:rFonts w:cs="Arial"/>
          <w:b/>
          <w:spacing w:val="0"/>
          <w:lang w:eastAsia="en-GB"/>
        </w:rPr>
      </w:pPr>
    </w:p>
    <w:p w14:paraId="5A3FF439" w14:textId="77777777" w:rsidR="00CF69B5" w:rsidRPr="00696A5D" w:rsidRDefault="00A724BF" w:rsidP="00CF69B5">
      <w:pPr>
        <w:ind w:right="11"/>
        <w:jc w:val="both"/>
        <w:rPr>
          <w:rFonts w:cs="Arial"/>
          <w:spacing w:val="0"/>
          <w:lang w:eastAsia="en-GB"/>
        </w:rPr>
      </w:pPr>
      <w:r w:rsidRPr="00696A5D">
        <w:rPr>
          <w:rFonts w:cs="Arial"/>
          <w:spacing w:val="0"/>
          <w:lang w:eastAsia="en-GB"/>
        </w:rPr>
        <w:t>The responsible officer is the person charged with professional responsibility for the treasury management function and in this Council is the Chief Finance Officer.   This person will carry out the following duties: -</w:t>
      </w:r>
    </w:p>
    <w:p w14:paraId="62891B20" w14:textId="77777777" w:rsidR="00CF69B5" w:rsidRPr="00696A5D" w:rsidRDefault="00CF69B5" w:rsidP="00CF69B5">
      <w:pPr>
        <w:ind w:left="960"/>
        <w:jc w:val="both"/>
        <w:rPr>
          <w:rFonts w:cs="Arial"/>
          <w:spacing w:val="0"/>
          <w:lang w:eastAsia="en-GB"/>
        </w:rPr>
      </w:pPr>
    </w:p>
    <w:p w14:paraId="40E29475" w14:textId="77777777" w:rsidR="00CF69B5" w:rsidRPr="00696A5D" w:rsidRDefault="00A724BF" w:rsidP="00B279C0">
      <w:pPr>
        <w:numPr>
          <w:ilvl w:val="0"/>
          <w:numId w:val="40"/>
        </w:numPr>
        <w:tabs>
          <w:tab w:val="num" w:pos="1418"/>
        </w:tabs>
        <w:autoSpaceDE w:val="0"/>
        <w:autoSpaceDN w:val="0"/>
        <w:adjustRightInd w:val="0"/>
        <w:rPr>
          <w:rFonts w:cs="Arial"/>
          <w:spacing w:val="0"/>
          <w:lang w:eastAsia="en-GB"/>
        </w:rPr>
      </w:pPr>
      <w:r w:rsidRPr="00696A5D">
        <w:rPr>
          <w:rFonts w:cs="Arial"/>
          <w:spacing w:val="0"/>
          <w:lang w:eastAsia="en-GB"/>
        </w:rPr>
        <w:t>recommending clauses, treasury management policy/practices for approval, reviewing the same regularly, and monitoring compliance</w:t>
      </w:r>
    </w:p>
    <w:p w14:paraId="4F6633AE" w14:textId="77777777" w:rsidR="00CF69B5" w:rsidRPr="00696A5D" w:rsidRDefault="00CF69B5" w:rsidP="00CF69B5">
      <w:pPr>
        <w:tabs>
          <w:tab w:val="num" w:pos="1418"/>
        </w:tabs>
        <w:autoSpaceDE w:val="0"/>
        <w:autoSpaceDN w:val="0"/>
        <w:adjustRightInd w:val="0"/>
        <w:ind w:left="993"/>
        <w:rPr>
          <w:rFonts w:cs="Arial"/>
          <w:spacing w:val="0"/>
          <w:lang w:eastAsia="en-GB"/>
        </w:rPr>
      </w:pPr>
    </w:p>
    <w:p w14:paraId="1ED9789F" w14:textId="77777777" w:rsidR="00CF69B5" w:rsidRPr="00696A5D" w:rsidRDefault="00A724BF" w:rsidP="00B279C0">
      <w:pPr>
        <w:numPr>
          <w:ilvl w:val="0"/>
          <w:numId w:val="40"/>
        </w:numPr>
        <w:tabs>
          <w:tab w:val="num" w:pos="1418"/>
        </w:tabs>
        <w:autoSpaceDE w:val="0"/>
        <w:autoSpaceDN w:val="0"/>
        <w:adjustRightInd w:val="0"/>
        <w:rPr>
          <w:rFonts w:cs="Arial"/>
          <w:spacing w:val="0"/>
          <w:lang w:eastAsia="en-GB"/>
        </w:rPr>
      </w:pPr>
      <w:r w:rsidRPr="00696A5D">
        <w:rPr>
          <w:rFonts w:cs="Arial"/>
          <w:spacing w:val="0"/>
          <w:lang w:eastAsia="en-GB"/>
        </w:rPr>
        <w:t>submitting regular treasury management policy reports</w:t>
      </w:r>
    </w:p>
    <w:p w14:paraId="17F54082" w14:textId="77777777" w:rsidR="00CF69B5" w:rsidRPr="00696A5D" w:rsidRDefault="00CF69B5" w:rsidP="00CF69B5">
      <w:pPr>
        <w:tabs>
          <w:tab w:val="num" w:pos="1418"/>
        </w:tabs>
        <w:autoSpaceDE w:val="0"/>
        <w:autoSpaceDN w:val="0"/>
        <w:adjustRightInd w:val="0"/>
        <w:rPr>
          <w:rFonts w:cs="Arial"/>
          <w:spacing w:val="0"/>
          <w:lang w:eastAsia="en-GB"/>
        </w:rPr>
      </w:pPr>
    </w:p>
    <w:p w14:paraId="36B87F6A" w14:textId="77777777" w:rsidR="00CF69B5" w:rsidRPr="00696A5D" w:rsidRDefault="00A724BF" w:rsidP="00B279C0">
      <w:pPr>
        <w:numPr>
          <w:ilvl w:val="0"/>
          <w:numId w:val="40"/>
        </w:numPr>
        <w:tabs>
          <w:tab w:val="num" w:pos="1418"/>
        </w:tabs>
        <w:autoSpaceDE w:val="0"/>
        <w:autoSpaceDN w:val="0"/>
        <w:adjustRightInd w:val="0"/>
        <w:rPr>
          <w:rFonts w:cs="Arial"/>
          <w:spacing w:val="0"/>
          <w:lang w:eastAsia="en-GB"/>
        </w:rPr>
      </w:pPr>
      <w:r w:rsidRPr="00696A5D">
        <w:rPr>
          <w:rFonts w:cs="Arial"/>
          <w:spacing w:val="0"/>
          <w:lang w:eastAsia="en-GB"/>
        </w:rPr>
        <w:t>submitting budgets and budget variations</w:t>
      </w:r>
    </w:p>
    <w:p w14:paraId="5EFCC439" w14:textId="77777777" w:rsidR="00CF69B5" w:rsidRPr="00696A5D" w:rsidRDefault="00CF69B5" w:rsidP="00CF69B5">
      <w:pPr>
        <w:tabs>
          <w:tab w:val="num" w:pos="1418"/>
        </w:tabs>
        <w:autoSpaceDE w:val="0"/>
        <w:autoSpaceDN w:val="0"/>
        <w:adjustRightInd w:val="0"/>
        <w:rPr>
          <w:rFonts w:cs="Arial"/>
          <w:spacing w:val="0"/>
          <w:lang w:eastAsia="en-GB"/>
        </w:rPr>
      </w:pPr>
    </w:p>
    <w:p w14:paraId="220099D2" w14:textId="77777777" w:rsidR="00CF69B5" w:rsidRPr="00696A5D" w:rsidRDefault="00A724BF" w:rsidP="00B279C0">
      <w:pPr>
        <w:numPr>
          <w:ilvl w:val="0"/>
          <w:numId w:val="40"/>
        </w:numPr>
        <w:tabs>
          <w:tab w:val="num" w:pos="1418"/>
        </w:tabs>
        <w:autoSpaceDE w:val="0"/>
        <w:autoSpaceDN w:val="0"/>
        <w:adjustRightInd w:val="0"/>
        <w:rPr>
          <w:rFonts w:cs="Arial"/>
          <w:spacing w:val="0"/>
          <w:lang w:eastAsia="en-GB"/>
        </w:rPr>
      </w:pPr>
      <w:r w:rsidRPr="00696A5D">
        <w:rPr>
          <w:rFonts w:cs="Arial"/>
          <w:spacing w:val="0"/>
          <w:lang w:eastAsia="en-GB"/>
        </w:rPr>
        <w:t>receiving and reviewing management information reports</w:t>
      </w:r>
    </w:p>
    <w:p w14:paraId="0C19E256" w14:textId="77777777" w:rsidR="00CF69B5" w:rsidRPr="00696A5D" w:rsidRDefault="00CF69B5" w:rsidP="00CF69B5">
      <w:pPr>
        <w:tabs>
          <w:tab w:val="num" w:pos="1418"/>
        </w:tabs>
        <w:autoSpaceDE w:val="0"/>
        <w:autoSpaceDN w:val="0"/>
        <w:adjustRightInd w:val="0"/>
        <w:rPr>
          <w:rFonts w:cs="Arial"/>
          <w:spacing w:val="0"/>
          <w:lang w:eastAsia="en-GB"/>
        </w:rPr>
      </w:pPr>
    </w:p>
    <w:p w14:paraId="580CB6F0" w14:textId="77777777" w:rsidR="00CF69B5" w:rsidRPr="00696A5D" w:rsidRDefault="00A724BF" w:rsidP="00B279C0">
      <w:pPr>
        <w:numPr>
          <w:ilvl w:val="0"/>
          <w:numId w:val="40"/>
        </w:numPr>
        <w:tabs>
          <w:tab w:val="num" w:pos="1418"/>
        </w:tabs>
        <w:autoSpaceDE w:val="0"/>
        <w:autoSpaceDN w:val="0"/>
        <w:adjustRightInd w:val="0"/>
        <w:rPr>
          <w:rFonts w:cs="Arial"/>
          <w:spacing w:val="0"/>
          <w:lang w:eastAsia="en-GB"/>
        </w:rPr>
      </w:pPr>
      <w:r w:rsidRPr="00696A5D">
        <w:rPr>
          <w:rFonts w:cs="Arial"/>
          <w:spacing w:val="0"/>
          <w:lang w:eastAsia="en-GB"/>
        </w:rPr>
        <w:t>reviewing the performance of the treasury management function</w:t>
      </w:r>
    </w:p>
    <w:p w14:paraId="7AD2E9C7" w14:textId="77777777" w:rsidR="00CF69B5" w:rsidRPr="00696A5D" w:rsidRDefault="00CF69B5" w:rsidP="00CF69B5">
      <w:pPr>
        <w:tabs>
          <w:tab w:val="num" w:pos="1418"/>
        </w:tabs>
        <w:autoSpaceDE w:val="0"/>
        <w:autoSpaceDN w:val="0"/>
        <w:adjustRightInd w:val="0"/>
        <w:rPr>
          <w:rFonts w:cs="Arial"/>
          <w:spacing w:val="0"/>
          <w:lang w:eastAsia="en-GB"/>
        </w:rPr>
      </w:pPr>
    </w:p>
    <w:p w14:paraId="085F7A45" w14:textId="77777777" w:rsidR="00CF69B5" w:rsidRPr="00696A5D" w:rsidRDefault="00A724BF" w:rsidP="00B279C0">
      <w:pPr>
        <w:numPr>
          <w:ilvl w:val="0"/>
          <w:numId w:val="40"/>
        </w:numPr>
        <w:tabs>
          <w:tab w:val="num" w:pos="1418"/>
        </w:tabs>
        <w:autoSpaceDE w:val="0"/>
        <w:autoSpaceDN w:val="0"/>
        <w:adjustRightInd w:val="0"/>
        <w:rPr>
          <w:rFonts w:cs="Arial"/>
          <w:spacing w:val="0"/>
          <w:lang w:eastAsia="en-GB"/>
        </w:rPr>
      </w:pPr>
      <w:r w:rsidRPr="00696A5D">
        <w:rPr>
          <w:rFonts w:cs="Arial"/>
          <w:spacing w:val="0"/>
          <w:lang w:eastAsia="en-GB"/>
        </w:rPr>
        <w:t>ensuring the adequacy of treasury management resources and skills, and the effective division of responsibilities within the treasury management function</w:t>
      </w:r>
    </w:p>
    <w:p w14:paraId="51E27006" w14:textId="77777777" w:rsidR="00CF69B5" w:rsidRPr="00696A5D" w:rsidRDefault="00CF69B5" w:rsidP="00CF69B5">
      <w:pPr>
        <w:tabs>
          <w:tab w:val="num" w:pos="1418"/>
        </w:tabs>
        <w:autoSpaceDE w:val="0"/>
        <w:autoSpaceDN w:val="0"/>
        <w:adjustRightInd w:val="0"/>
        <w:rPr>
          <w:rFonts w:cs="Arial"/>
          <w:spacing w:val="0"/>
          <w:lang w:eastAsia="en-GB"/>
        </w:rPr>
      </w:pPr>
    </w:p>
    <w:p w14:paraId="76F0708A" w14:textId="77777777" w:rsidR="00CF69B5" w:rsidRPr="00696A5D" w:rsidRDefault="00A724BF" w:rsidP="00B279C0">
      <w:pPr>
        <w:numPr>
          <w:ilvl w:val="0"/>
          <w:numId w:val="40"/>
        </w:numPr>
        <w:tabs>
          <w:tab w:val="num" w:pos="1418"/>
        </w:tabs>
        <w:autoSpaceDE w:val="0"/>
        <w:autoSpaceDN w:val="0"/>
        <w:adjustRightInd w:val="0"/>
        <w:rPr>
          <w:rFonts w:cs="Arial"/>
          <w:spacing w:val="0"/>
          <w:lang w:eastAsia="en-GB"/>
        </w:rPr>
      </w:pPr>
      <w:r w:rsidRPr="00696A5D">
        <w:rPr>
          <w:rFonts w:cs="Arial"/>
          <w:spacing w:val="0"/>
          <w:lang w:eastAsia="en-GB"/>
        </w:rPr>
        <w:t>ensuring the adequacy of internal audit, and liaising with external audit</w:t>
      </w:r>
    </w:p>
    <w:p w14:paraId="011A6096" w14:textId="77777777" w:rsidR="00CF69B5" w:rsidRPr="00696A5D" w:rsidRDefault="00CF69B5" w:rsidP="00CF69B5">
      <w:pPr>
        <w:tabs>
          <w:tab w:val="num" w:pos="1418"/>
        </w:tabs>
        <w:autoSpaceDE w:val="0"/>
        <w:autoSpaceDN w:val="0"/>
        <w:adjustRightInd w:val="0"/>
        <w:rPr>
          <w:rFonts w:cs="Arial"/>
          <w:spacing w:val="0"/>
          <w:lang w:eastAsia="en-GB"/>
        </w:rPr>
      </w:pPr>
    </w:p>
    <w:p w14:paraId="6BF8171B" w14:textId="77777777" w:rsidR="00CF69B5" w:rsidRPr="00696A5D" w:rsidRDefault="00A724BF" w:rsidP="00B279C0">
      <w:pPr>
        <w:numPr>
          <w:ilvl w:val="0"/>
          <w:numId w:val="40"/>
        </w:numPr>
        <w:tabs>
          <w:tab w:val="num" w:pos="1418"/>
        </w:tabs>
        <w:autoSpaceDE w:val="0"/>
        <w:autoSpaceDN w:val="0"/>
        <w:adjustRightInd w:val="0"/>
        <w:rPr>
          <w:rFonts w:cs="Arial"/>
          <w:spacing w:val="0"/>
          <w:lang w:eastAsia="en-GB"/>
        </w:rPr>
      </w:pPr>
      <w:r w:rsidRPr="00696A5D">
        <w:rPr>
          <w:rFonts w:cs="Arial"/>
          <w:spacing w:val="0"/>
          <w:lang w:eastAsia="en-GB"/>
        </w:rPr>
        <w:t>recommending the appointment of external service providers.</w:t>
      </w:r>
    </w:p>
    <w:p w14:paraId="279B64FE" w14:textId="77777777" w:rsidR="00CF69B5" w:rsidRPr="00696A5D" w:rsidRDefault="00CF69B5" w:rsidP="00CF69B5">
      <w:pPr>
        <w:tabs>
          <w:tab w:val="num" w:pos="1418"/>
        </w:tabs>
        <w:autoSpaceDE w:val="0"/>
        <w:autoSpaceDN w:val="0"/>
        <w:adjustRightInd w:val="0"/>
        <w:rPr>
          <w:rFonts w:cs="Arial"/>
          <w:spacing w:val="0"/>
          <w:lang w:eastAsia="en-GB"/>
        </w:rPr>
      </w:pPr>
    </w:p>
    <w:p w14:paraId="0F7E1ECC" w14:textId="77777777" w:rsidR="00CF69B5" w:rsidRPr="00696A5D" w:rsidRDefault="00A724BF" w:rsidP="00B279C0">
      <w:pPr>
        <w:numPr>
          <w:ilvl w:val="0"/>
          <w:numId w:val="40"/>
        </w:numPr>
        <w:tabs>
          <w:tab w:val="num" w:pos="1418"/>
        </w:tabs>
        <w:autoSpaceDE w:val="0"/>
        <w:autoSpaceDN w:val="0"/>
        <w:adjustRightInd w:val="0"/>
        <w:rPr>
          <w:rFonts w:cs="Arial"/>
          <w:spacing w:val="0"/>
          <w:lang w:eastAsia="en-GB"/>
        </w:rPr>
      </w:pPr>
      <w:r w:rsidRPr="00696A5D">
        <w:rPr>
          <w:rFonts w:cs="Arial"/>
          <w:spacing w:val="0"/>
          <w:lang w:eastAsia="en-GB"/>
        </w:rPr>
        <w:t>The responsible officer has delegated powers through this policy to take the most appropriate form of borrowing from the approved sources, and to make the most appropriate form of investments in approved instruments.</w:t>
      </w:r>
      <w:r w:rsidRPr="00696A5D">
        <w:rPr>
          <w:rFonts w:cs="Arial"/>
          <w:spacing w:val="0"/>
          <w:lang w:eastAsia="en-GB"/>
        </w:rPr>
        <w:br/>
      </w:r>
    </w:p>
    <w:p w14:paraId="74702643" w14:textId="77777777" w:rsidR="00CF69B5" w:rsidRPr="00696A5D" w:rsidRDefault="00A724BF" w:rsidP="00B279C0">
      <w:pPr>
        <w:numPr>
          <w:ilvl w:val="0"/>
          <w:numId w:val="40"/>
        </w:numPr>
        <w:tabs>
          <w:tab w:val="num" w:pos="1418"/>
        </w:tabs>
        <w:autoSpaceDE w:val="0"/>
        <w:autoSpaceDN w:val="0"/>
        <w:adjustRightInd w:val="0"/>
        <w:rPr>
          <w:rFonts w:cs="Arial"/>
          <w:spacing w:val="0"/>
          <w:lang w:eastAsia="en-GB"/>
        </w:rPr>
      </w:pPr>
      <w:r w:rsidRPr="00696A5D">
        <w:rPr>
          <w:rFonts w:cs="Arial"/>
          <w:spacing w:val="0"/>
          <w:lang w:eastAsia="en-GB"/>
        </w:rPr>
        <w:t xml:space="preserve">The responsible officer may delegate his power to borrow and invest to members of his staff. The </w:t>
      </w:r>
      <w:r w:rsidR="00E9208F" w:rsidRPr="00696A5D">
        <w:rPr>
          <w:rFonts w:cs="Arial"/>
          <w:spacing w:val="0"/>
          <w:lang w:eastAsia="en-GB"/>
        </w:rPr>
        <w:t>finance</w:t>
      </w:r>
      <w:r w:rsidRPr="00696A5D">
        <w:rPr>
          <w:rFonts w:cs="Arial"/>
          <w:spacing w:val="0"/>
          <w:lang w:eastAsia="en-GB"/>
        </w:rPr>
        <w:t xml:space="preserve"> must conduct all dealing transactions, or staff authorised by the responsible officer to act as temporary cover for leave/sickness.</w:t>
      </w:r>
    </w:p>
    <w:p w14:paraId="0D78D459" w14:textId="77777777" w:rsidR="00CF69B5" w:rsidRPr="00696A5D" w:rsidRDefault="00A724BF" w:rsidP="00CF69B5">
      <w:pPr>
        <w:tabs>
          <w:tab w:val="num" w:pos="1418"/>
        </w:tabs>
        <w:autoSpaceDE w:val="0"/>
        <w:autoSpaceDN w:val="0"/>
        <w:adjustRightInd w:val="0"/>
        <w:ind w:left="720"/>
        <w:rPr>
          <w:rFonts w:cs="Arial"/>
          <w:spacing w:val="0"/>
          <w:lang w:eastAsia="en-GB"/>
        </w:rPr>
      </w:pPr>
      <w:r w:rsidRPr="00696A5D">
        <w:rPr>
          <w:rFonts w:cs="Arial"/>
          <w:spacing w:val="0"/>
          <w:lang w:eastAsia="en-GB"/>
        </w:rPr>
        <w:t xml:space="preserve">  </w:t>
      </w:r>
    </w:p>
    <w:p w14:paraId="6F77257C" w14:textId="77777777" w:rsidR="00CF69B5" w:rsidRPr="00696A5D" w:rsidRDefault="00A724BF" w:rsidP="00B279C0">
      <w:pPr>
        <w:numPr>
          <w:ilvl w:val="0"/>
          <w:numId w:val="40"/>
        </w:numPr>
        <w:tabs>
          <w:tab w:val="num" w:pos="1418"/>
        </w:tabs>
        <w:autoSpaceDE w:val="0"/>
        <w:autoSpaceDN w:val="0"/>
        <w:adjustRightInd w:val="0"/>
        <w:rPr>
          <w:rFonts w:cs="Arial"/>
          <w:spacing w:val="0"/>
          <w:lang w:eastAsia="en-GB"/>
        </w:rPr>
      </w:pPr>
      <w:r w:rsidRPr="00696A5D">
        <w:rPr>
          <w:rFonts w:cs="Arial"/>
          <w:spacing w:val="0"/>
          <w:lang w:eastAsia="en-GB"/>
        </w:rPr>
        <w:t xml:space="preserve">The responsible officer will ensure that Treasury Management Policy is adhered to, and if not will bring the matter to the attention of elected members as soon as possible. </w:t>
      </w:r>
    </w:p>
    <w:p w14:paraId="48E5E701" w14:textId="77777777" w:rsidR="00CF69B5" w:rsidRPr="00696A5D" w:rsidRDefault="00CF69B5" w:rsidP="00CF69B5">
      <w:pPr>
        <w:tabs>
          <w:tab w:val="num" w:pos="1418"/>
        </w:tabs>
        <w:autoSpaceDE w:val="0"/>
        <w:autoSpaceDN w:val="0"/>
        <w:adjustRightInd w:val="0"/>
        <w:rPr>
          <w:rFonts w:cs="Arial"/>
          <w:spacing w:val="0"/>
          <w:lang w:eastAsia="en-GB"/>
        </w:rPr>
      </w:pPr>
    </w:p>
    <w:p w14:paraId="36DBED00" w14:textId="77777777" w:rsidR="00CF69B5" w:rsidRPr="00696A5D" w:rsidRDefault="00A724BF" w:rsidP="00B279C0">
      <w:pPr>
        <w:numPr>
          <w:ilvl w:val="0"/>
          <w:numId w:val="40"/>
        </w:numPr>
        <w:tabs>
          <w:tab w:val="num" w:pos="1418"/>
        </w:tabs>
        <w:autoSpaceDE w:val="0"/>
        <w:autoSpaceDN w:val="0"/>
        <w:adjustRightInd w:val="0"/>
        <w:rPr>
          <w:rFonts w:cs="Arial"/>
          <w:spacing w:val="0"/>
          <w:lang w:eastAsia="en-GB"/>
        </w:rPr>
      </w:pPr>
      <w:r w:rsidRPr="00696A5D">
        <w:rPr>
          <w:rFonts w:cs="Arial"/>
          <w:spacing w:val="0"/>
          <w:lang w:eastAsia="en-GB"/>
        </w:rPr>
        <w:t>Prior to entering into any capital financing, lending or investment transaction, it is the responsibility of the responsible officer to be satisfied, by reference to the Council’s legal department and external advisors as appropriate, that the proposed transaction does not breach any statute, external regulation or the Council’s Financial Regulations</w:t>
      </w:r>
    </w:p>
    <w:p w14:paraId="2E1FF876" w14:textId="77777777" w:rsidR="00CF69B5" w:rsidRPr="00696A5D" w:rsidRDefault="00CF69B5" w:rsidP="00CF69B5">
      <w:pPr>
        <w:tabs>
          <w:tab w:val="num" w:pos="1418"/>
        </w:tabs>
        <w:autoSpaceDE w:val="0"/>
        <w:autoSpaceDN w:val="0"/>
        <w:adjustRightInd w:val="0"/>
        <w:ind w:left="720"/>
        <w:rPr>
          <w:rFonts w:cs="Arial"/>
          <w:spacing w:val="0"/>
          <w:lang w:eastAsia="en-GB"/>
        </w:rPr>
      </w:pPr>
    </w:p>
    <w:p w14:paraId="1B8B8A15" w14:textId="77777777" w:rsidR="00CF69B5" w:rsidRPr="00696A5D" w:rsidRDefault="00A724BF" w:rsidP="00B279C0">
      <w:pPr>
        <w:numPr>
          <w:ilvl w:val="0"/>
          <w:numId w:val="40"/>
        </w:numPr>
        <w:tabs>
          <w:tab w:val="num" w:pos="1418"/>
        </w:tabs>
        <w:autoSpaceDE w:val="0"/>
        <w:autoSpaceDN w:val="0"/>
        <w:adjustRightInd w:val="0"/>
        <w:rPr>
          <w:rFonts w:cs="Arial"/>
          <w:spacing w:val="0"/>
          <w:lang w:eastAsia="en-GB"/>
        </w:rPr>
      </w:pPr>
      <w:r w:rsidRPr="00696A5D">
        <w:rPr>
          <w:rFonts w:cs="Arial"/>
          <w:spacing w:val="0"/>
          <w:lang w:eastAsia="en-GB"/>
        </w:rPr>
        <w:t>It is also the responsibility of the responsible officer to ensure that the Council complies with the requirements of The Non-Investment Products Code (formerly known as The London Code of Conduct) for principals and broking firms in the wholesale markets.</w:t>
      </w:r>
    </w:p>
    <w:p w14:paraId="533CF87B" w14:textId="77777777" w:rsidR="00CF69B5" w:rsidRPr="00696A5D" w:rsidRDefault="00CF69B5" w:rsidP="00CF69B5">
      <w:pPr>
        <w:ind w:right="14"/>
        <w:jc w:val="both"/>
        <w:rPr>
          <w:rFonts w:cs="Arial"/>
          <w:b/>
          <w:spacing w:val="0"/>
          <w:lang w:eastAsia="en-GB"/>
        </w:rPr>
      </w:pPr>
    </w:p>
    <w:p w14:paraId="65157101" w14:textId="77777777" w:rsidR="00CF69B5" w:rsidRPr="00696A5D" w:rsidRDefault="00A724BF" w:rsidP="00CF69B5">
      <w:pPr>
        <w:rPr>
          <w:rFonts w:cs="Arial"/>
          <w:b/>
          <w:spacing w:val="0"/>
          <w:lang w:eastAsia="en-GB"/>
        </w:rPr>
      </w:pPr>
      <w:r w:rsidRPr="00696A5D">
        <w:rPr>
          <w:rFonts w:cs="Arial"/>
          <w:b/>
          <w:spacing w:val="0"/>
          <w:lang w:eastAsia="en-GB"/>
        </w:rPr>
        <w:t>The Chief Accountant</w:t>
      </w:r>
    </w:p>
    <w:p w14:paraId="029D29E7" w14:textId="77777777" w:rsidR="00CF69B5" w:rsidRPr="00696A5D" w:rsidRDefault="00CF69B5" w:rsidP="00CF69B5">
      <w:pPr>
        <w:ind w:right="11"/>
        <w:jc w:val="both"/>
        <w:rPr>
          <w:rFonts w:cs="Arial"/>
          <w:b/>
          <w:spacing w:val="0"/>
          <w:lang w:eastAsia="en-GB"/>
        </w:rPr>
      </w:pPr>
    </w:p>
    <w:p w14:paraId="625D4407" w14:textId="77777777" w:rsidR="00CF69B5" w:rsidRPr="00696A5D" w:rsidRDefault="00A724BF" w:rsidP="00CF69B5">
      <w:pPr>
        <w:ind w:right="11"/>
        <w:jc w:val="both"/>
        <w:rPr>
          <w:rFonts w:cs="Arial"/>
          <w:spacing w:val="0"/>
          <w:lang w:eastAsia="en-GB"/>
        </w:rPr>
      </w:pPr>
      <w:r w:rsidRPr="00696A5D">
        <w:rPr>
          <w:rFonts w:cs="Arial"/>
          <w:spacing w:val="0"/>
          <w:lang w:eastAsia="en-GB"/>
        </w:rPr>
        <w:t>The responsibilities of this post will be: -</w:t>
      </w:r>
    </w:p>
    <w:p w14:paraId="2F07BAD4" w14:textId="77777777" w:rsidR="00CF69B5" w:rsidRPr="00696A5D" w:rsidRDefault="00CF69B5" w:rsidP="00CF69B5">
      <w:pPr>
        <w:ind w:right="11"/>
        <w:jc w:val="both"/>
        <w:rPr>
          <w:rFonts w:cs="Arial"/>
          <w:spacing w:val="0"/>
          <w:lang w:eastAsia="en-GB"/>
        </w:rPr>
      </w:pPr>
    </w:p>
    <w:p w14:paraId="56973247" w14:textId="77777777" w:rsidR="00CF69B5" w:rsidRPr="00696A5D" w:rsidRDefault="00A724BF" w:rsidP="00B279C0">
      <w:pPr>
        <w:numPr>
          <w:ilvl w:val="0"/>
          <w:numId w:val="37"/>
        </w:numPr>
        <w:tabs>
          <w:tab w:val="clear" w:pos="1440"/>
        </w:tabs>
        <w:ind w:right="14"/>
        <w:jc w:val="both"/>
        <w:rPr>
          <w:rFonts w:cs="Arial"/>
          <w:spacing w:val="0"/>
          <w:lang w:eastAsia="en-GB"/>
        </w:rPr>
      </w:pPr>
      <w:r w:rsidRPr="00696A5D">
        <w:rPr>
          <w:rFonts w:cs="Arial"/>
          <w:spacing w:val="0"/>
          <w:lang w:eastAsia="en-GB"/>
        </w:rPr>
        <w:t>execution of transactions</w:t>
      </w:r>
    </w:p>
    <w:p w14:paraId="0170B0C7" w14:textId="77777777" w:rsidR="00CF69B5" w:rsidRPr="00696A5D" w:rsidRDefault="00CF69B5" w:rsidP="00CF69B5">
      <w:pPr>
        <w:autoSpaceDE w:val="0"/>
        <w:autoSpaceDN w:val="0"/>
        <w:adjustRightInd w:val="0"/>
        <w:ind w:left="960"/>
        <w:rPr>
          <w:rFonts w:cs="Arial"/>
          <w:spacing w:val="0"/>
          <w:lang w:eastAsia="en-GB"/>
        </w:rPr>
      </w:pPr>
    </w:p>
    <w:p w14:paraId="5B3A73BF" w14:textId="77777777" w:rsidR="00CF69B5" w:rsidRPr="00696A5D" w:rsidRDefault="00A724BF" w:rsidP="00B279C0">
      <w:pPr>
        <w:numPr>
          <w:ilvl w:val="0"/>
          <w:numId w:val="37"/>
        </w:numPr>
        <w:tabs>
          <w:tab w:val="clear" w:pos="1440"/>
        </w:tabs>
        <w:ind w:right="14"/>
        <w:jc w:val="both"/>
        <w:rPr>
          <w:rFonts w:cs="Arial"/>
          <w:spacing w:val="0"/>
          <w:lang w:eastAsia="en-GB"/>
        </w:rPr>
      </w:pPr>
      <w:r w:rsidRPr="00696A5D">
        <w:rPr>
          <w:rFonts w:cs="Arial"/>
          <w:spacing w:val="0"/>
          <w:lang w:eastAsia="en-GB"/>
        </w:rPr>
        <w:t>adherence to agreed policies and practices on a day-to-day basis</w:t>
      </w:r>
    </w:p>
    <w:p w14:paraId="6C773BBB" w14:textId="77777777" w:rsidR="00CF69B5" w:rsidRPr="00696A5D" w:rsidRDefault="00CF69B5" w:rsidP="00CF69B5">
      <w:pPr>
        <w:autoSpaceDE w:val="0"/>
        <w:autoSpaceDN w:val="0"/>
        <w:adjustRightInd w:val="0"/>
        <w:ind w:left="960"/>
        <w:rPr>
          <w:rFonts w:cs="Arial"/>
          <w:spacing w:val="0"/>
          <w:lang w:eastAsia="en-GB"/>
        </w:rPr>
      </w:pPr>
    </w:p>
    <w:p w14:paraId="353B55F7" w14:textId="77777777" w:rsidR="00CF69B5" w:rsidRPr="00696A5D" w:rsidRDefault="00A724BF" w:rsidP="00B279C0">
      <w:pPr>
        <w:numPr>
          <w:ilvl w:val="0"/>
          <w:numId w:val="37"/>
        </w:numPr>
        <w:tabs>
          <w:tab w:val="clear" w:pos="1440"/>
        </w:tabs>
        <w:ind w:right="14"/>
        <w:jc w:val="both"/>
        <w:rPr>
          <w:rFonts w:cs="Arial"/>
          <w:spacing w:val="0"/>
          <w:lang w:eastAsia="en-GB"/>
        </w:rPr>
      </w:pPr>
      <w:r w:rsidRPr="00696A5D">
        <w:rPr>
          <w:rFonts w:cs="Arial"/>
          <w:spacing w:val="0"/>
          <w:lang w:eastAsia="en-GB"/>
        </w:rPr>
        <w:t>maintaining relationships with counterparties and external service providers</w:t>
      </w:r>
    </w:p>
    <w:p w14:paraId="405DC743" w14:textId="77777777" w:rsidR="00CF69B5" w:rsidRPr="00696A5D" w:rsidRDefault="00CF69B5" w:rsidP="00CF69B5">
      <w:pPr>
        <w:autoSpaceDE w:val="0"/>
        <w:autoSpaceDN w:val="0"/>
        <w:adjustRightInd w:val="0"/>
        <w:ind w:left="960"/>
        <w:rPr>
          <w:rFonts w:cs="Arial"/>
          <w:spacing w:val="0"/>
          <w:lang w:eastAsia="en-GB"/>
        </w:rPr>
      </w:pPr>
    </w:p>
    <w:p w14:paraId="68B229B5" w14:textId="77777777" w:rsidR="00CF69B5" w:rsidRPr="00696A5D" w:rsidRDefault="00A724BF" w:rsidP="00B279C0">
      <w:pPr>
        <w:numPr>
          <w:ilvl w:val="0"/>
          <w:numId w:val="37"/>
        </w:numPr>
        <w:tabs>
          <w:tab w:val="clear" w:pos="1440"/>
        </w:tabs>
        <w:ind w:right="14"/>
        <w:jc w:val="both"/>
        <w:rPr>
          <w:rFonts w:cs="Arial"/>
          <w:spacing w:val="0"/>
          <w:lang w:eastAsia="en-GB"/>
        </w:rPr>
      </w:pPr>
      <w:r w:rsidRPr="00696A5D">
        <w:rPr>
          <w:rFonts w:cs="Arial"/>
          <w:spacing w:val="0"/>
          <w:lang w:eastAsia="en-GB"/>
        </w:rPr>
        <w:t>supervising treasury management staff</w:t>
      </w:r>
    </w:p>
    <w:p w14:paraId="15F6F2D4" w14:textId="77777777" w:rsidR="00CF69B5" w:rsidRPr="00696A5D" w:rsidRDefault="00CF69B5" w:rsidP="00CF69B5">
      <w:pPr>
        <w:autoSpaceDE w:val="0"/>
        <w:autoSpaceDN w:val="0"/>
        <w:adjustRightInd w:val="0"/>
        <w:ind w:left="960"/>
        <w:rPr>
          <w:rFonts w:cs="Arial"/>
          <w:spacing w:val="0"/>
          <w:lang w:eastAsia="en-GB"/>
        </w:rPr>
      </w:pPr>
    </w:p>
    <w:p w14:paraId="3DCE5BF9" w14:textId="77777777" w:rsidR="00CF69B5" w:rsidRPr="00696A5D" w:rsidRDefault="00A724BF" w:rsidP="00B279C0">
      <w:pPr>
        <w:numPr>
          <w:ilvl w:val="0"/>
          <w:numId w:val="37"/>
        </w:numPr>
        <w:tabs>
          <w:tab w:val="clear" w:pos="1440"/>
        </w:tabs>
        <w:ind w:right="14"/>
        <w:jc w:val="both"/>
        <w:rPr>
          <w:rFonts w:cs="Arial"/>
          <w:spacing w:val="0"/>
          <w:lang w:eastAsia="en-GB"/>
        </w:rPr>
      </w:pPr>
      <w:r w:rsidRPr="00696A5D">
        <w:rPr>
          <w:rFonts w:cs="Arial"/>
          <w:spacing w:val="0"/>
          <w:lang w:eastAsia="en-GB"/>
        </w:rPr>
        <w:t>monitoring performance on a day-to-day basis</w:t>
      </w:r>
    </w:p>
    <w:p w14:paraId="30AB38B3" w14:textId="77777777" w:rsidR="00CF69B5" w:rsidRPr="00696A5D" w:rsidRDefault="00CF69B5" w:rsidP="00CF69B5">
      <w:pPr>
        <w:autoSpaceDE w:val="0"/>
        <w:autoSpaceDN w:val="0"/>
        <w:adjustRightInd w:val="0"/>
        <w:ind w:left="960"/>
        <w:rPr>
          <w:rFonts w:cs="Arial"/>
          <w:spacing w:val="0"/>
          <w:lang w:eastAsia="en-GB"/>
        </w:rPr>
      </w:pPr>
    </w:p>
    <w:p w14:paraId="33AAEB51" w14:textId="77777777" w:rsidR="00CF69B5" w:rsidRPr="00696A5D" w:rsidRDefault="00A724BF" w:rsidP="00B279C0">
      <w:pPr>
        <w:numPr>
          <w:ilvl w:val="0"/>
          <w:numId w:val="37"/>
        </w:numPr>
        <w:tabs>
          <w:tab w:val="clear" w:pos="1440"/>
        </w:tabs>
        <w:ind w:right="14"/>
        <w:jc w:val="both"/>
        <w:rPr>
          <w:rFonts w:cs="Arial"/>
          <w:spacing w:val="0"/>
          <w:lang w:eastAsia="en-GB"/>
        </w:rPr>
      </w:pPr>
      <w:r w:rsidRPr="00696A5D">
        <w:rPr>
          <w:rFonts w:cs="Arial"/>
          <w:spacing w:val="0"/>
          <w:lang w:eastAsia="en-GB"/>
        </w:rPr>
        <w:t>submitting management information reports to the responsible officer</w:t>
      </w:r>
    </w:p>
    <w:p w14:paraId="3F12566C" w14:textId="77777777" w:rsidR="00CF69B5" w:rsidRPr="00696A5D" w:rsidRDefault="00CF69B5" w:rsidP="00CF69B5">
      <w:pPr>
        <w:autoSpaceDE w:val="0"/>
        <w:autoSpaceDN w:val="0"/>
        <w:adjustRightInd w:val="0"/>
        <w:ind w:left="960"/>
        <w:rPr>
          <w:rFonts w:cs="Arial"/>
          <w:spacing w:val="0"/>
          <w:lang w:eastAsia="en-GB"/>
        </w:rPr>
      </w:pPr>
    </w:p>
    <w:p w14:paraId="3D8A3876" w14:textId="77777777" w:rsidR="00CF69B5" w:rsidRPr="00696A5D" w:rsidRDefault="00A724BF" w:rsidP="00B279C0">
      <w:pPr>
        <w:numPr>
          <w:ilvl w:val="0"/>
          <w:numId w:val="37"/>
        </w:numPr>
        <w:tabs>
          <w:tab w:val="clear" w:pos="1440"/>
        </w:tabs>
        <w:ind w:right="14"/>
        <w:jc w:val="both"/>
        <w:rPr>
          <w:rFonts w:cs="Arial"/>
          <w:spacing w:val="0"/>
          <w:lang w:eastAsia="en-GB"/>
        </w:rPr>
      </w:pPr>
      <w:r w:rsidRPr="00696A5D">
        <w:rPr>
          <w:rFonts w:cs="Arial"/>
          <w:spacing w:val="0"/>
          <w:lang w:eastAsia="en-GB"/>
        </w:rPr>
        <w:t>identifying and recommending opportunities for improved practices</w:t>
      </w:r>
    </w:p>
    <w:p w14:paraId="7AA4EECA" w14:textId="77777777" w:rsidR="00CF69B5" w:rsidRPr="00696A5D" w:rsidRDefault="00CF69B5" w:rsidP="00CF69B5">
      <w:pPr>
        <w:ind w:left="720" w:right="14"/>
        <w:jc w:val="both"/>
        <w:rPr>
          <w:rFonts w:cs="Arial"/>
          <w:b/>
          <w:spacing w:val="0"/>
          <w:lang w:eastAsia="en-GB"/>
        </w:rPr>
      </w:pPr>
    </w:p>
    <w:p w14:paraId="2469B91D" w14:textId="77777777" w:rsidR="00B279C0" w:rsidRPr="00696A5D" w:rsidRDefault="00B279C0" w:rsidP="00CF69B5">
      <w:pPr>
        <w:ind w:right="11"/>
        <w:jc w:val="both"/>
        <w:rPr>
          <w:rFonts w:cs="Arial"/>
          <w:b/>
          <w:spacing w:val="0"/>
          <w:lang w:eastAsia="en-GB"/>
        </w:rPr>
      </w:pPr>
    </w:p>
    <w:p w14:paraId="06EF5F96" w14:textId="77777777" w:rsidR="00CF69B5" w:rsidRPr="00696A5D" w:rsidRDefault="00A724BF" w:rsidP="00CF69B5">
      <w:pPr>
        <w:ind w:right="11"/>
        <w:jc w:val="both"/>
        <w:rPr>
          <w:rFonts w:cs="Arial"/>
          <w:b/>
          <w:spacing w:val="0"/>
          <w:lang w:eastAsia="en-GB"/>
        </w:rPr>
      </w:pPr>
      <w:r w:rsidRPr="00696A5D">
        <w:rPr>
          <w:rFonts w:cs="Arial"/>
          <w:b/>
          <w:spacing w:val="0"/>
          <w:lang w:eastAsia="en-GB"/>
        </w:rPr>
        <w:t>The Head of the Paid Service – the Chief Executive</w:t>
      </w:r>
    </w:p>
    <w:p w14:paraId="2832AD00" w14:textId="77777777" w:rsidR="00CF69B5" w:rsidRPr="00696A5D" w:rsidRDefault="00CF69B5" w:rsidP="00CF69B5">
      <w:pPr>
        <w:tabs>
          <w:tab w:val="num" w:pos="960"/>
        </w:tabs>
        <w:ind w:right="11"/>
        <w:jc w:val="both"/>
        <w:rPr>
          <w:rFonts w:cs="Arial"/>
          <w:spacing w:val="0"/>
          <w:lang w:eastAsia="en-GB"/>
        </w:rPr>
      </w:pPr>
    </w:p>
    <w:p w14:paraId="3B23929F" w14:textId="77777777" w:rsidR="00CF69B5" w:rsidRPr="00696A5D" w:rsidRDefault="00A724BF" w:rsidP="00CF69B5">
      <w:pPr>
        <w:tabs>
          <w:tab w:val="num" w:pos="960"/>
        </w:tabs>
        <w:ind w:right="11"/>
        <w:jc w:val="both"/>
        <w:rPr>
          <w:rFonts w:cs="Arial"/>
          <w:spacing w:val="0"/>
          <w:lang w:eastAsia="en-GB"/>
        </w:rPr>
      </w:pPr>
      <w:r w:rsidRPr="00696A5D">
        <w:rPr>
          <w:rFonts w:cs="Arial"/>
          <w:spacing w:val="0"/>
          <w:lang w:eastAsia="en-GB"/>
        </w:rPr>
        <w:t>The responsibilities of this post will be: -</w:t>
      </w:r>
    </w:p>
    <w:p w14:paraId="5EBCAB63" w14:textId="77777777" w:rsidR="00CF69B5" w:rsidRPr="00696A5D" w:rsidRDefault="00CF69B5" w:rsidP="00CF69B5">
      <w:pPr>
        <w:tabs>
          <w:tab w:val="num" w:pos="960"/>
        </w:tabs>
        <w:ind w:right="11"/>
        <w:jc w:val="both"/>
        <w:rPr>
          <w:rFonts w:cs="Arial"/>
          <w:spacing w:val="0"/>
          <w:lang w:eastAsia="en-GB"/>
        </w:rPr>
      </w:pPr>
    </w:p>
    <w:p w14:paraId="0707D5B3" w14:textId="77777777" w:rsidR="00CF69B5" w:rsidRPr="00696A5D" w:rsidRDefault="00A724BF" w:rsidP="00B279C0">
      <w:pPr>
        <w:numPr>
          <w:ilvl w:val="0"/>
          <w:numId w:val="41"/>
        </w:numPr>
        <w:ind w:right="14"/>
        <w:jc w:val="both"/>
        <w:rPr>
          <w:rFonts w:cs="Arial"/>
          <w:spacing w:val="0"/>
          <w:lang w:eastAsia="en-GB"/>
        </w:rPr>
      </w:pPr>
      <w:r w:rsidRPr="00696A5D">
        <w:rPr>
          <w:rFonts w:cs="Arial"/>
          <w:spacing w:val="0"/>
          <w:lang w:eastAsia="en-GB"/>
        </w:rPr>
        <w:t>Ensuring that the system is specified and implemented</w:t>
      </w:r>
    </w:p>
    <w:p w14:paraId="529DFA9C" w14:textId="77777777" w:rsidR="00CF69B5" w:rsidRPr="00696A5D" w:rsidRDefault="00CF69B5" w:rsidP="00CF69B5">
      <w:pPr>
        <w:ind w:left="960" w:right="14"/>
        <w:jc w:val="both"/>
        <w:rPr>
          <w:rFonts w:cs="Arial"/>
          <w:spacing w:val="0"/>
          <w:lang w:eastAsia="en-GB"/>
        </w:rPr>
      </w:pPr>
    </w:p>
    <w:p w14:paraId="11A4108F" w14:textId="77777777" w:rsidR="00CF69B5" w:rsidRPr="00696A5D" w:rsidRDefault="00A724BF" w:rsidP="00B279C0">
      <w:pPr>
        <w:numPr>
          <w:ilvl w:val="0"/>
          <w:numId w:val="41"/>
        </w:numPr>
        <w:tabs>
          <w:tab w:val="clear" w:pos="1440"/>
        </w:tabs>
        <w:ind w:right="14"/>
        <w:jc w:val="both"/>
        <w:rPr>
          <w:rFonts w:cs="Arial"/>
          <w:spacing w:val="0"/>
          <w:lang w:eastAsia="en-GB"/>
        </w:rPr>
      </w:pPr>
      <w:r w:rsidRPr="00696A5D">
        <w:rPr>
          <w:rFonts w:cs="Arial"/>
          <w:spacing w:val="0"/>
          <w:lang w:eastAsia="en-GB"/>
        </w:rPr>
        <w:t xml:space="preserve">Ensuring that the responsible officer reports regularly on treasury policy, </w:t>
      </w:r>
      <w:proofErr w:type="gramStart"/>
      <w:r w:rsidRPr="00696A5D">
        <w:rPr>
          <w:rFonts w:cs="Arial"/>
          <w:spacing w:val="0"/>
          <w:lang w:eastAsia="en-GB"/>
        </w:rPr>
        <w:t>activity</w:t>
      </w:r>
      <w:proofErr w:type="gramEnd"/>
      <w:r w:rsidRPr="00696A5D">
        <w:rPr>
          <w:rFonts w:cs="Arial"/>
          <w:spacing w:val="0"/>
          <w:lang w:eastAsia="en-GB"/>
        </w:rPr>
        <w:t xml:space="preserve"> and performance.</w:t>
      </w:r>
    </w:p>
    <w:p w14:paraId="5E1C0847" w14:textId="77777777" w:rsidR="00CF69B5" w:rsidRPr="00696A5D" w:rsidRDefault="00CF69B5" w:rsidP="00CF69B5">
      <w:pPr>
        <w:tabs>
          <w:tab w:val="num" w:pos="960"/>
        </w:tabs>
        <w:ind w:left="960" w:right="14" w:hanging="600"/>
        <w:jc w:val="both"/>
        <w:rPr>
          <w:rFonts w:cs="Arial"/>
          <w:spacing w:val="0"/>
          <w:lang w:eastAsia="en-GB"/>
        </w:rPr>
      </w:pPr>
    </w:p>
    <w:p w14:paraId="74766CD2" w14:textId="77777777" w:rsidR="00B279C0" w:rsidRPr="00696A5D" w:rsidRDefault="00B279C0" w:rsidP="00CF69B5">
      <w:pPr>
        <w:ind w:right="11"/>
        <w:jc w:val="both"/>
        <w:rPr>
          <w:rFonts w:cs="Arial"/>
          <w:b/>
          <w:spacing w:val="0"/>
          <w:lang w:eastAsia="en-GB"/>
        </w:rPr>
      </w:pPr>
    </w:p>
    <w:p w14:paraId="7E39BD1B" w14:textId="77777777" w:rsidR="00CF69B5" w:rsidRPr="00696A5D" w:rsidRDefault="00A724BF" w:rsidP="00CF69B5">
      <w:pPr>
        <w:ind w:right="11"/>
        <w:jc w:val="both"/>
        <w:rPr>
          <w:rFonts w:cs="Arial"/>
          <w:b/>
          <w:spacing w:val="0"/>
          <w:lang w:eastAsia="en-GB"/>
        </w:rPr>
      </w:pPr>
      <w:r w:rsidRPr="00696A5D">
        <w:rPr>
          <w:rFonts w:cs="Arial"/>
          <w:b/>
          <w:spacing w:val="0"/>
          <w:lang w:eastAsia="en-GB"/>
        </w:rPr>
        <w:t>The Monitoring Officer</w:t>
      </w:r>
    </w:p>
    <w:p w14:paraId="0818A8BA" w14:textId="77777777" w:rsidR="00CF69B5" w:rsidRPr="00696A5D" w:rsidRDefault="00CF69B5" w:rsidP="00CF69B5">
      <w:pPr>
        <w:tabs>
          <w:tab w:val="num" w:pos="960"/>
        </w:tabs>
        <w:ind w:left="958" w:right="11" w:hanging="601"/>
        <w:jc w:val="both"/>
        <w:rPr>
          <w:rFonts w:cs="Arial"/>
          <w:spacing w:val="0"/>
          <w:lang w:eastAsia="en-GB"/>
        </w:rPr>
      </w:pPr>
    </w:p>
    <w:p w14:paraId="350D9B0C" w14:textId="77777777" w:rsidR="00CF69B5" w:rsidRPr="00696A5D" w:rsidRDefault="00A724BF" w:rsidP="00CF69B5">
      <w:pPr>
        <w:tabs>
          <w:tab w:val="num" w:pos="960"/>
        </w:tabs>
        <w:ind w:left="601" w:right="11" w:hanging="601"/>
        <w:jc w:val="both"/>
        <w:rPr>
          <w:rFonts w:cs="Arial"/>
          <w:spacing w:val="0"/>
          <w:lang w:eastAsia="en-GB"/>
        </w:rPr>
      </w:pPr>
      <w:r w:rsidRPr="00696A5D">
        <w:rPr>
          <w:rFonts w:cs="Arial"/>
          <w:spacing w:val="0"/>
          <w:lang w:eastAsia="en-GB"/>
        </w:rPr>
        <w:t>The responsibilities of this post will be: -</w:t>
      </w:r>
    </w:p>
    <w:p w14:paraId="6601ED07" w14:textId="77777777" w:rsidR="00CF69B5" w:rsidRPr="00696A5D" w:rsidRDefault="00CF69B5" w:rsidP="00CF69B5">
      <w:pPr>
        <w:tabs>
          <w:tab w:val="num" w:pos="960"/>
        </w:tabs>
        <w:ind w:left="958" w:right="11" w:hanging="601"/>
        <w:jc w:val="both"/>
        <w:rPr>
          <w:rFonts w:cs="Arial"/>
          <w:spacing w:val="0"/>
          <w:lang w:eastAsia="en-GB"/>
        </w:rPr>
      </w:pPr>
    </w:p>
    <w:p w14:paraId="72EF254B" w14:textId="77777777" w:rsidR="00CF69B5" w:rsidRPr="00696A5D" w:rsidRDefault="00A724BF" w:rsidP="00B279C0">
      <w:pPr>
        <w:numPr>
          <w:ilvl w:val="0"/>
          <w:numId w:val="38"/>
        </w:numPr>
        <w:ind w:right="14"/>
        <w:jc w:val="both"/>
        <w:rPr>
          <w:rFonts w:cs="Arial"/>
          <w:spacing w:val="0"/>
          <w:lang w:eastAsia="en-GB"/>
        </w:rPr>
      </w:pPr>
      <w:r w:rsidRPr="00696A5D">
        <w:rPr>
          <w:rFonts w:cs="Arial"/>
          <w:spacing w:val="0"/>
          <w:lang w:eastAsia="en-GB"/>
        </w:rPr>
        <w:t>Ensuring compliance by the responsible officer with the treasury management policy statement and treasury management practices and that they comply with the law.</w:t>
      </w:r>
    </w:p>
    <w:p w14:paraId="5B76A2D5" w14:textId="77777777" w:rsidR="00CF69B5" w:rsidRPr="00696A5D" w:rsidRDefault="00CF69B5" w:rsidP="00CF69B5">
      <w:pPr>
        <w:tabs>
          <w:tab w:val="num" w:pos="1560"/>
        </w:tabs>
        <w:ind w:left="960" w:right="14"/>
        <w:jc w:val="both"/>
        <w:rPr>
          <w:rFonts w:cs="Arial"/>
          <w:spacing w:val="0"/>
          <w:lang w:eastAsia="en-GB"/>
        </w:rPr>
      </w:pPr>
    </w:p>
    <w:p w14:paraId="7151B77E" w14:textId="77777777" w:rsidR="00CF69B5" w:rsidRPr="00696A5D" w:rsidRDefault="00A724BF" w:rsidP="00B279C0">
      <w:pPr>
        <w:numPr>
          <w:ilvl w:val="0"/>
          <w:numId w:val="38"/>
        </w:numPr>
        <w:tabs>
          <w:tab w:val="clear" w:pos="1440"/>
        </w:tabs>
        <w:ind w:right="14"/>
        <w:jc w:val="both"/>
        <w:rPr>
          <w:rFonts w:cs="Arial"/>
          <w:spacing w:val="0"/>
          <w:lang w:eastAsia="en-GB"/>
        </w:rPr>
      </w:pPr>
      <w:r w:rsidRPr="00696A5D">
        <w:rPr>
          <w:rFonts w:cs="Arial"/>
          <w:spacing w:val="0"/>
          <w:lang w:eastAsia="en-GB"/>
        </w:rPr>
        <w:t>Being satisfied that any proposal to vary treasury policy or practice complies with law or any code of practice.</w:t>
      </w:r>
    </w:p>
    <w:p w14:paraId="66F94F1D" w14:textId="77777777" w:rsidR="00CF69B5" w:rsidRPr="00696A5D" w:rsidRDefault="00CF69B5" w:rsidP="00CF69B5">
      <w:pPr>
        <w:tabs>
          <w:tab w:val="num" w:pos="1560"/>
        </w:tabs>
        <w:ind w:right="14"/>
        <w:jc w:val="both"/>
        <w:rPr>
          <w:rFonts w:cs="Arial"/>
          <w:spacing w:val="0"/>
          <w:lang w:eastAsia="en-GB"/>
        </w:rPr>
      </w:pPr>
    </w:p>
    <w:p w14:paraId="055CEC92" w14:textId="77777777" w:rsidR="00CF69B5" w:rsidRPr="00696A5D" w:rsidRDefault="00A724BF" w:rsidP="00B279C0">
      <w:pPr>
        <w:numPr>
          <w:ilvl w:val="0"/>
          <w:numId w:val="38"/>
        </w:numPr>
        <w:tabs>
          <w:tab w:val="clear" w:pos="1440"/>
        </w:tabs>
        <w:ind w:right="14"/>
        <w:jc w:val="both"/>
        <w:rPr>
          <w:rFonts w:cs="Arial"/>
          <w:spacing w:val="0"/>
          <w:lang w:eastAsia="en-GB"/>
        </w:rPr>
      </w:pPr>
      <w:r w:rsidRPr="00696A5D">
        <w:rPr>
          <w:rFonts w:cs="Arial"/>
          <w:spacing w:val="0"/>
          <w:lang w:eastAsia="en-GB"/>
        </w:rPr>
        <w:t>Giving advice to the responsible officer when advice is sought.</w:t>
      </w:r>
    </w:p>
    <w:p w14:paraId="58EC5921" w14:textId="77777777" w:rsidR="00CF69B5" w:rsidRPr="00696A5D" w:rsidRDefault="00CF69B5" w:rsidP="00CF69B5">
      <w:pPr>
        <w:tabs>
          <w:tab w:val="num" w:pos="960"/>
        </w:tabs>
        <w:ind w:left="960" w:right="14" w:hanging="600"/>
        <w:jc w:val="both"/>
        <w:rPr>
          <w:rFonts w:cs="Arial"/>
          <w:spacing w:val="0"/>
          <w:lang w:eastAsia="en-GB"/>
        </w:rPr>
      </w:pPr>
    </w:p>
    <w:p w14:paraId="7E243AC0" w14:textId="77777777" w:rsidR="00B279C0" w:rsidRPr="00696A5D" w:rsidRDefault="00B279C0" w:rsidP="00CF69B5">
      <w:pPr>
        <w:ind w:right="11"/>
        <w:jc w:val="both"/>
        <w:rPr>
          <w:rFonts w:cs="Arial"/>
          <w:b/>
          <w:spacing w:val="0"/>
          <w:lang w:eastAsia="en-GB"/>
        </w:rPr>
      </w:pPr>
    </w:p>
    <w:p w14:paraId="4EEEC9F1" w14:textId="77777777" w:rsidR="00CF69B5" w:rsidRPr="00696A5D" w:rsidRDefault="00A724BF" w:rsidP="00CF69B5">
      <w:pPr>
        <w:ind w:right="11"/>
        <w:jc w:val="both"/>
        <w:rPr>
          <w:rFonts w:cs="Arial"/>
          <w:b/>
          <w:spacing w:val="0"/>
          <w:lang w:eastAsia="en-GB"/>
        </w:rPr>
      </w:pPr>
      <w:r w:rsidRPr="00696A5D">
        <w:rPr>
          <w:rFonts w:cs="Arial"/>
          <w:b/>
          <w:spacing w:val="0"/>
          <w:lang w:eastAsia="en-GB"/>
        </w:rPr>
        <w:t>Internal Audit</w:t>
      </w:r>
    </w:p>
    <w:p w14:paraId="39C5F57F" w14:textId="77777777" w:rsidR="00CF69B5" w:rsidRPr="00696A5D" w:rsidRDefault="00CF69B5" w:rsidP="00CF69B5">
      <w:pPr>
        <w:ind w:right="11"/>
        <w:jc w:val="both"/>
        <w:rPr>
          <w:rFonts w:cs="Arial"/>
          <w:b/>
          <w:spacing w:val="0"/>
          <w:lang w:eastAsia="en-GB"/>
        </w:rPr>
      </w:pPr>
    </w:p>
    <w:p w14:paraId="7A67E5E5" w14:textId="77777777" w:rsidR="00CF69B5" w:rsidRPr="00696A5D" w:rsidRDefault="00A724BF" w:rsidP="00CF69B5">
      <w:pPr>
        <w:tabs>
          <w:tab w:val="num" w:pos="960"/>
        </w:tabs>
        <w:ind w:right="14"/>
        <w:jc w:val="both"/>
        <w:rPr>
          <w:rFonts w:cs="Arial"/>
          <w:spacing w:val="0"/>
          <w:lang w:eastAsia="en-GB"/>
        </w:rPr>
      </w:pPr>
      <w:r w:rsidRPr="00696A5D">
        <w:rPr>
          <w:rFonts w:cs="Arial"/>
          <w:spacing w:val="0"/>
          <w:lang w:eastAsia="en-GB"/>
        </w:rPr>
        <w:t>The responsibilities of Internal Audit will be: -</w:t>
      </w:r>
    </w:p>
    <w:p w14:paraId="7EEB7D72" w14:textId="77777777" w:rsidR="00CF69B5" w:rsidRPr="00696A5D" w:rsidRDefault="00CF69B5" w:rsidP="00CF69B5">
      <w:pPr>
        <w:tabs>
          <w:tab w:val="num" w:pos="1560"/>
        </w:tabs>
        <w:ind w:left="960" w:right="14"/>
        <w:jc w:val="both"/>
        <w:rPr>
          <w:rFonts w:cs="Arial"/>
          <w:spacing w:val="0"/>
          <w:lang w:eastAsia="en-GB"/>
        </w:rPr>
      </w:pPr>
    </w:p>
    <w:p w14:paraId="2B3876FA" w14:textId="77777777" w:rsidR="00CF69B5" w:rsidRPr="00696A5D" w:rsidRDefault="00A724BF" w:rsidP="00B279C0">
      <w:pPr>
        <w:numPr>
          <w:ilvl w:val="0"/>
          <w:numId w:val="39"/>
        </w:numPr>
        <w:tabs>
          <w:tab w:val="clear" w:pos="1440"/>
        </w:tabs>
        <w:ind w:right="14"/>
        <w:jc w:val="both"/>
        <w:rPr>
          <w:rFonts w:cs="Arial"/>
          <w:spacing w:val="0"/>
          <w:lang w:eastAsia="en-GB"/>
        </w:rPr>
      </w:pPr>
      <w:r w:rsidRPr="00696A5D">
        <w:rPr>
          <w:rFonts w:cs="Arial"/>
          <w:spacing w:val="0"/>
          <w:lang w:eastAsia="en-GB"/>
        </w:rPr>
        <w:t>Reviewing compliance with approved policy and treasury management practices.</w:t>
      </w:r>
    </w:p>
    <w:p w14:paraId="30391256" w14:textId="77777777" w:rsidR="00CF69B5" w:rsidRPr="00696A5D" w:rsidRDefault="00CF69B5" w:rsidP="00CF69B5">
      <w:pPr>
        <w:tabs>
          <w:tab w:val="num" w:pos="1560"/>
        </w:tabs>
        <w:ind w:left="960" w:right="14"/>
        <w:jc w:val="both"/>
        <w:rPr>
          <w:rFonts w:cs="Arial"/>
          <w:spacing w:val="0"/>
          <w:lang w:eastAsia="en-GB"/>
        </w:rPr>
      </w:pPr>
    </w:p>
    <w:p w14:paraId="18814BF4" w14:textId="77777777" w:rsidR="00CF69B5" w:rsidRPr="00696A5D" w:rsidRDefault="00A724BF" w:rsidP="00B279C0">
      <w:pPr>
        <w:numPr>
          <w:ilvl w:val="0"/>
          <w:numId w:val="39"/>
        </w:numPr>
        <w:ind w:right="14"/>
        <w:jc w:val="both"/>
        <w:rPr>
          <w:rFonts w:cs="Arial"/>
          <w:spacing w:val="0"/>
          <w:lang w:eastAsia="en-GB"/>
        </w:rPr>
      </w:pPr>
      <w:r w:rsidRPr="00696A5D">
        <w:rPr>
          <w:rFonts w:cs="Arial"/>
          <w:spacing w:val="0"/>
          <w:lang w:eastAsia="en-GB"/>
        </w:rPr>
        <w:t>Reviewing division of duties and operational practice.</w:t>
      </w:r>
    </w:p>
    <w:p w14:paraId="334B99E5" w14:textId="77777777" w:rsidR="00CF69B5" w:rsidRPr="00696A5D" w:rsidRDefault="00CF69B5" w:rsidP="00CF69B5">
      <w:pPr>
        <w:tabs>
          <w:tab w:val="num" w:pos="1560"/>
        </w:tabs>
        <w:ind w:left="960" w:right="14"/>
        <w:jc w:val="both"/>
        <w:rPr>
          <w:rFonts w:cs="Arial"/>
          <w:spacing w:val="0"/>
          <w:lang w:eastAsia="en-GB"/>
        </w:rPr>
      </w:pPr>
    </w:p>
    <w:p w14:paraId="765BC041" w14:textId="77777777" w:rsidR="00CF69B5" w:rsidRPr="00696A5D" w:rsidRDefault="00A724BF" w:rsidP="00B279C0">
      <w:pPr>
        <w:numPr>
          <w:ilvl w:val="0"/>
          <w:numId w:val="39"/>
        </w:numPr>
        <w:ind w:right="14"/>
        <w:jc w:val="both"/>
        <w:rPr>
          <w:rFonts w:cs="Arial"/>
          <w:spacing w:val="0"/>
          <w:lang w:eastAsia="en-GB"/>
        </w:rPr>
      </w:pPr>
      <w:r w:rsidRPr="00696A5D">
        <w:rPr>
          <w:rFonts w:cs="Arial"/>
          <w:spacing w:val="0"/>
          <w:lang w:eastAsia="en-GB"/>
        </w:rPr>
        <w:t>Assessing value for money from treasury activities.</w:t>
      </w:r>
    </w:p>
    <w:p w14:paraId="38EB6431" w14:textId="77777777" w:rsidR="00CF69B5" w:rsidRPr="00696A5D" w:rsidRDefault="00CF69B5" w:rsidP="00CF69B5">
      <w:pPr>
        <w:tabs>
          <w:tab w:val="num" w:pos="1560"/>
        </w:tabs>
        <w:ind w:left="960" w:right="14"/>
        <w:jc w:val="both"/>
        <w:rPr>
          <w:rFonts w:cs="Arial"/>
          <w:spacing w:val="0"/>
          <w:lang w:eastAsia="en-GB"/>
        </w:rPr>
      </w:pPr>
    </w:p>
    <w:p w14:paraId="396F78E7" w14:textId="77777777" w:rsidR="00CF69B5" w:rsidRPr="00696A5D" w:rsidRDefault="00A724BF" w:rsidP="00B279C0">
      <w:pPr>
        <w:numPr>
          <w:ilvl w:val="0"/>
          <w:numId w:val="39"/>
        </w:numPr>
        <w:ind w:right="14"/>
        <w:jc w:val="both"/>
        <w:rPr>
          <w:rFonts w:cs="Arial"/>
          <w:spacing w:val="0"/>
          <w:lang w:eastAsia="en-GB"/>
        </w:rPr>
      </w:pPr>
      <w:r w:rsidRPr="00696A5D">
        <w:rPr>
          <w:rFonts w:cs="Arial"/>
          <w:spacing w:val="0"/>
          <w:lang w:eastAsia="en-GB"/>
        </w:rPr>
        <w:t>Undertaking probity audit of treasury function.</w:t>
      </w:r>
    </w:p>
    <w:p w14:paraId="047E0C3D" w14:textId="77777777" w:rsidR="00CF69B5" w:rsidRPr="00696A5D" w:rsidRDefault="00CF69B5" w:rsidP="00CF69B5">
      <w:pPr>
        <w:ind w:right="14"/>
        <w:jc w:val="both"/>
        <w:rPr>
          <w:rFonts w:cs="Arial"/>
          <w:b/>
          <w:spacing w:val="0"/>
          <w:lang w:eastAsia="en-GB"/>
        </w:rPr>
      </w:pPr>
    </w:p>
    <w:p w14:paraId="72A83D39" w14:textId="77777777" w:rsidR="00B279C0" w:rsidRPr="00696A5D" w:rsidRDefault="00B279C0" w:rsidP="00CF69B5">
      <w:pPr>
        <w:ind w:right="11"/>
        <w:jc w:val="both"/>
        <w:rPr>
          <w:rFonts w:cs="Arial"/>
          <w:b/>
          <w:spacing w:val="0"/>
          <w:lang w:eastAsia="en-GB"/>
        </w:rPr>
      </w:pPr>
    </w:p>
    <w:p w14:paraId="3B41B555" w14:textId="77777777" w:rsidR="00CF69B5" w:rsidRPr="00696A5D" w:rsidRDefault="00A724BF" w:rsidP="00CF69B5">
      <w:pPr>
        <w:ind w:right="11"/>
        <w:jc w:val="both"/>
        <w:rPr>
          <w:rFonts w:cs="Arial"/>
          <w:b/>
          <w:spacing w:val="0"/>
          <w:lang w:eastAsia="en-GB"/>
        </w:rPr>
      </w:pPr>
      <w:r w:rsidRPr="00696A5D">
        <w:rPr>
          <w:rFonts w:cs="Arial"/>
          <w:b/>
          <w:spacing w:val="0"/>
          <w:lang w:eastAsia="en-GB"/>
        </w:rPr>
        <w:t>Absence Cover Arrangements</w:t>
      </w:r>
    </w:p>
    <w:p w14:paraId="62D66102" w14:textId="77777777" w:rsidR="00CF69B5" w:rsidRPr="00696A5D" w:rsidRDefault="00CF69B5" w:rsidP="00CF69B5">
      <w:pPr>
        <w:ind w:left="567" w:right="14"/>
        <w:jc w:val="both"/>
        <w:rPr>
          <w:rFonts w:cs="Arial"/>
          <w:spacing w:val="0"/>
          <w:lang w:eastAsia="en-GB"/>
        </w:rPr>
      </w:pPr>
    </w:p>
    <w:p w14:paraId="55546F7A" w14:textId="77777777" w:rsidR="00CF69B5" w:rsidRPr="00696A5D" w:rsidRDefault="00A724BF" w:rsidP="00CF69B5">
      <w:pPr>
        <w:ind w:right="14"/>
        <w:jc w:val="both"/>
        <w:rPr>
          <w:rFonts w:cs="Arial"/>
          <w:spacing w:val="0"/>
          <w:lang w:eastAsia="en-GB"/>
        </w:rPr>
      </w:pPr>
      <w:r w:rsidRPr="00696A5D">
        <w:rPr>
          <w:rFonts w:cs="Arial"/>
          <w:spacing w:val="0"/>
          <w:lang w:eastAsia="en-GB"/>
        </w:rPr>
        <w:t>Four officers within the Finance Team have the authority to place deals, with a further three officers able to input trades onto the system ready for authorisation.</w:t>
      </w:r>
    </w:p>
    <w:p w14:paraId="23458EC9" w14:textId="77777777" w:rsidR="00CF69B5" w:rsidRPr="00696A5D" w:rsidRDefault="00CF69B5" w:rsidP="00CF69B5">
      <w:pPr>
        <w:ind w:right="11"/>
        <w:jc w:val="both"/>
        <w:rPr>
          <w:rFonts w:cs="Arial"/>
          <w:b/>
          <w:spacing w:val="0"/>
          <w:lang w:eastAsia="en-GB"/>
        </w:rPr>
      </w:pPr>
    </w:p>
    <w:p w14:paraId="3E838B56" w14:textId="77777777" w:rsidR="00B279C0" w:rsidRPr="00696A5D" w:rsidRDefault="00B279C0" w:rsidP="00CF69B5">
      <w:pPr>
        <w:ind w:right="11"/>
        <w:jc w:val="both"/>
        <w:rPr>
          <w:rFonts w:cs="Arial"/>
          <w:b/>
          <w:spacing w:val="0"/>
          <w:lang w:eastAsia="en-GB"/>
        </w:rPr>
      </w:pPr>
    </w:p>
    <w:p w14:paraId="578545AC" w14:textId="77777777" w:rsidR="00B279C0" w:rsidRPr="00696A5D" w:rsidRDefault="00B279C0" w:rsidP="00CF69B5">
      <w:pPr>
        <w:ind w:right="11"/>
        <w:jc w:val="both"/>
        <w:rPr>
          <w:rFonts w:cs="Arial"/>
          <w:b/>
          <w:spacing w:val="0"/>
          <w:lang w:eastAsia="en-GB"/>
        </w:rPr>
      </w:pPr>
    </w:p>
    <w:p w14:paraId="2ECEB2C0" w14:textId="77777777" w:rsidR="00CF69B5" w:rsidRPr="00696A5D" w:rsidRDefault="00A724BF" w:rsidP="00CF69B5">
      <w:pPr>
        <w:ind w:right="11"/>
        <w:jc w:val="both"/>
        <w:rPr>
          <w:rFonts w:cs="Arial"/>
          <w:b/>
          <w:spacing w:val="0"/>
          <w:lang w:eastAsia="en-GB"/>
        </w:rPr>
      </w:pPr>
      <w:r w:rsidRPr="00696A5D">
        <w:rPr>
          <w:rFonts w:cs="Arial"/>
          <w:b/>
          <w:spacing w:val="0"/>
          <w:lang w:eastAsia="en-GB"/>
        </w:rPr>
        <w:t>Dealing</w:t>
      </w:r>
    </w:p>
    <w:p w14:paraId="4AAC2C5E" w14:textId="77777777" w:rsidR="00CF69B5" w:rsidRPr="00696A5D" w:rsidRDefault="00CF69B5" w:rsidP="00CF69B5">
      <w:pPr>
        <w:ind w:left="360" w:right="14" w:firstLine="240"/>
        <w:jc w:val="both"/>
        <w:rPr>
          <w:rFonts w:cs="Arial"/>
          <w:spacing w:val="0"/>
          <w:lang w:eastAsia="en-GB"/>
        </w:rPr>
      </w:pPr>
    </w:p>
    <w:p w14:paraId="4A2EE9F7" w14:textId="77777777" w:rsidR="00CF69B5" w:rsidRPr="00696A5D" w:rsidRDefault="00A724BF" w:rsidP="00CF69B5">
      <w:pPr>
        <w:ind w:right="14"/>
        <w:jc w:val="both"/>
        <w:rPr>
          <w:rFonts w:cs="Arial"/>
          <w:spacing w:val="0"/>
          <w:lang w:eastAsia="en-GB"/>
        </w:rPr>
      </w:pPr>
      <w:r w:rsidRPr="00696A5D">
        <w:rPr>
          <w:rFonts w:cs="Arial"/>
          <w:spacing w:val="0"/>
          <w:lang w:eastAsia="en-GB"/>
        </w:rPr>
        <w:t>The following posts are authorised to deal</w:t>
      </w:r>
      <w:r w:rsidR="00BA6695" w:rsidRPr="00696A5D">
        <w:rPr>
          <w:rFonts w:cs="Arial"/>
          <w:spacing w:val="0"/>
          <w:lang w:eastAsia="en-GB"/>
        </w:rPr>
        <w:t xml:space="preserve"> and/or input trades</w:t>
      </w:r>
      <w:r w:rsidRPr="00696A5D">
        <w:rPr>
          <w:rFonts w:cs="Arial"/>
          <w:spacing w:val="0"/>
          <w:lang w:eastAsia="en-GB"/>
        </w:rPr>
        <w:t xml:space="preserve">: - </w:t>
      </w:r>
    </w:p>
    <w:p w14:paraId="04D27E14" w14:textId="77777777" w:rsidR="00CF69B5" w:rsidRPr="00696A5D" w:rsidRDefault="00CF69B5" w:rsidP="00CF69B5">
      <w:pPr>
        <w:ind w:left="1080" w:right="14"/>
        <w:jc w:val="both"/>
        <w:rPr>
          <w:rFonts w:cs="Arial"/>
          <w:spacing w:val="0"/>
          <w:lang w:eastAsia="en-GB"/>
        </w:rPr>
      </w:pPr>
    </w:p>
    <w:p w14:paraId="1A3B7479" w14:textId="77777777" w:rsidR="009228CB" w:rsidRPr="00696A5D" w:rsidRDefault="00A724BF" w:rsidP="00B279C0">
      <w:pPr>
        <w:numPr>
          <w:ilvl w:val="0"/>
          <w:numId w:val="31"/>
        </w:numPr>
        <w:ind w:right="14"/>
        <w:jc w:val="both"/>
        <w:rPr>
          <w:rFonts w:cs="Arial"/>
          <w:spacing w:val="0"/>
          <w:lang w:eastAsia="en-GB"/>
        </w:rPr>
      </w:pPr>
      <w:r w:rsidRPr="00696A5D">
        <w:rPr>
          <w:rFonts w:cs="Arial"/>
          <w:spacing w:val="0"/>
          <w:lang w:eastAsia="en-GB"/>
        </w:rPr>
        <w:t>Head of Finance</w:t>
      </w:r>
    </w:p>
    <w:p w14:paraId="75F00A10" w14:textId="77777777" w:rsidR="00CF69B5" w:rsidRPr="00696A5D" w:rsidRDefault="00A724BF" w:rsidP="00B279C0">
      <w:pPr>
        <w:numPr>
          <w:ilvl w:val="0"/>
          <w:numId w:val="31"/>
        </w:numPr>
        <w:ind w:right="14"/>
        <w:jc w:val="both"/>
        <w:rPr>
          <w:rFonts w:cs="Arial"/>
          <w:spacing w:val="0"/>
          <w:lang w:eastAsia="en-GB"/>
        </w:rPr>
      </w:pPr>
      <w:r w:rsidRPr="00696A5D">
        <w:rPr>
          <w:rFonts w:cs="Arial"/>
          <w:spacing w:val="0"/>
          <w:lang w:eastAsia="en-GB"/>
        </w:rPr>
        <w:t>Chief Accountant</w:t>
      </w:r>
    </w:p>
    <w:p w14:paraId="14BF0C4A" w14:textId="77777777" w:rsidR="00CF69B5" w:rsidRPr="00696A5D" w:rsidRDefault="00A724BF" w:rsidP="00B279C0">
      <w:pPr>
        <w:numPr>
          <w:ilvl w:val="0"/>
          <w:numId w:val="31"/>
        </w:numPr>
        <w:ind w:right="14"/>
        <w:jc w:val="both"/>
        <w:rPr>
          <w:rFonts w:cs="Arial"/>
          <w:spacing w:val="0"/>
          <w:lang w:eastAsia="en-GB"/>
        </w:rPr>
      </w:pPr>
      <w:r w:rsidRPr="00696A5D">
        <w:rPr>
          <w:rFonts w:cs="Arial"/>
          <w:spacing w:val="0"/>
          <w:lang w:eastAsia="en-GB"/>
        </w:rPr>
        <w:t>2</w:t>
      </w:r>
      <w:r w:rsidR="00B02E25" w:rsidRPr="00696A5D">
        <w:rPr>
          <w:rFonts w:cs="Arial"/>
          <w:spacing w:val="0"/>
          <w:lang w:eastAsia="en-GB"/>
        </w:rPr>
        <w:t xml:space="preserve"> Senior Accountants</w:t>
      </w:r>
    </w:p>
    <w:p w14:paraId="00472BC2" w14:textId="77777777" w:rsidR="00CF69B5" w:rsidRPr="00696A5D" w:rsidRDefault="00A724BF" w:rsidP="00B279C0">
      <w:pPr>
        <w:numPr>
          <w:ilvl w:val="0"/>
          <w:numId w:val="31"/>
        </w:numPr>
        <w:ind w:right="14"/>
        <w:jc w:val="both"/>
        <w:rPr>
          <w:rFonts w:cs="Arial"/>
          <w:spacing w:val="0"/>
          <w:lang w:eastAsia="en-GB"/>
        </w:rPr>
      </w:pPr>
      <w:r w:rsidRPr="00696A5D">
        <w:rPr>
          <w:rFonts w:cs="Arial"/>
          <w:spacing w:val="0"/>
          <w:lang w:eastAsia="en-GB"/>
        </w:rPr>
        <w:t>3 Accountants</w:t>
      </w:r>
    </w:p>
    <w:p w14:paraId="45665FC8" w14:textId="77777777" w:rsidR="00CF69B5" w:rsidRPr="00696A5D" w:rsidRDefault="00CF69B5" w:rsidP="00CF69B5">
      <w:pPr>
        <w:ind w:right="11"/>
        <w:jc w:val="both"/>
        <w:rPr>
          <w:rFonts w:cs="Arial"/>
          <w:b/>
          <w:spacing w:val="0"/>
          <w:lang w:eastAsia="en-GB"/>
        </w:rPr>
      </w:pPr>
    </w:p>
    <w:p w14:paraId="03755F3E" w14:textId="77777777" w:rsidR="00CF69B5" w:rsidRPr="00696A5D" w:rsidRDefault="00A724BF" w:rsidP="009F4CF9">
      <w:pPr>
        <w:pStyle w:val="Subheading"/>
        <w:rPr>
          <w:sz w:val="20"/>
          <w:szCs w:val="20"/>
          <w:lang w:eastAsia="en-GB"/>
        </w:rPr>
      </w:pPr>
      <w:r w:rsidRPr="00696A5D">
        <w:rPr>
          <w:sz w:val="20"/>
          <w:szCs w:val="20"/>
          <w:lang w:eastAsia="en-GB"/>
        </w:rPr>
        <w:t xml:space="preserve">TMP6 Reporting requirements and management information arrangements </w:t>
      </w:r>
    </w:p>
    <w:p w14:paraId="48D37862" w14:textId="77777777" w:rsidR="00CF69B5" w:rsidRPr="00696A5D" w:rsidRDefault="00CF69B5" w:rsidP="00CF69B5">
      <w:pPr>
        <w:rPr>
          <w:rFonts w:cs="Arial"/>
          <w:b/>
          <w:spacing w:val="0"/>
          <w:lang w:eastAsia="en-GB"/>
        </w:rPr>
      </w:pPr>
    </w:p>
    <w:p w14:paraId="73BE1D8B" w14:textId="77777777" w:rsidR="00CF69B5" w:rsidRPr="00696A5D" w:rsidRDefault="00A724BF" w:rsidP="00CF69B5">
      <w:pPr>
        <w:ind w:right="14"/>
        <w:jc w:val="both"/>
        <w:rPr>
          <w:rFonts w:cs="Arial"/>
          <w:spacing w:val="0"/>
          <w:lang w:eastAsia="en-GB"/>
        </w:rPr>
      </w:pPr>
      <w:r w:rsidRPr="00696A5D">
        <w:rPr>
          <w:rFonts w:cs="Arial"/>
          <w:spacing w:val="0"/>
          <w:lang w:eastAsia="en-GB"/>
        </w:rPr>
        <w:t xml:space="preserve">Epsom &amp; Ewell Borough Council will ensure that regular reports are prepared and considered on the implementation of its treasury managements policies; on the effects of decisions taken and transactions executed in pursuit of those policies; on the implementations of changes, particularly budgetary, resulting from regulatory, economic, market or other factors affecting its treasury management activities; and on the performance of the treasury management function. </w:t>
      </w:r>
    </w:p>
    <w:p w14:paraId="5F804472" w14:textId="77777777" w:rsidR="00CF69B5" w:rsidRPr="00696A5D" w:rsidRDefault="00CF69B5" w:rsidP="00CF69B5">
      <w:pPr>
        <w:ind w:left="720"/>
        <w:rPr>
          <w:rFonts w:cs="Arial"/>
          <w:spacing w:val="0"/>
          <w:lang w:eastAsia="en-GB"/>
        </w:rPr>
      </w:pPr>
    </w:p>
    <w:p w14:paraId="56CEB96E" w14:textId="77777777" w:rsidR="00CF69B5" w:rsidRPr="00696A5D" w:rsidRDefault="00A724BF" w:rsidP="00CF69B5">
      <w:pPr>
        <w:ind w:right="14"/>
        <w:jc w:val="both"/>
        <w:rPr>
          <w:rFonts w:cs="Arial"/>
          <w:spacing w:val="0"/>
          <w:lang w:eastAsia="en-GB"/>
        </w:rPr>
      </w:pPr>
      <w:r w:rsidRPr="00696A5D">
        <w:rPr>
          <w:rFonts w:cs="Arial"/>
          <w:spacing w:val="0"/>
          <w:lang w:eastAsia="en-GB"/>
        </w:rPr>
        <w:t>As a minimum, members will receive:</w:t>
      </w:r>
    </w:p>
    <w:p w14:paraId="53ACA001" w14:textId="77777777" w:rsidR="00CF69B5" w:rsidRPr="00696A5D" w:rsidRDefault="00CF69B5" w:rsidP="00CF69B5">
      <w:pPr>
        <w:tabs>
          <w:tab w:val="num" w:pos="1122"/>
        </w:tabs>
        <w:rPr>
          <w:rFonts w:cs="Arial"/>
          <w:spacing w:val="0"/>
          <w:lang w:eastAsia="en-GB"/>
        </w:rPr>
      </w:pPr>
    </w:p>
    <w:p w14:paraId="2083278C" w14:textId="77777777" w:rsidR="00CF69B5" w:rsidRPr="00696A5D" w:rsidRDefault="00A724BF" w:rsidP="00B279C0">
      <w:pPr>
        <w:numPr>
          <w:ilvl w:val="0"/>
          <w:numId w:val="32"/>
        </w:numPr>
        <w:tabs>
          <w:tab w:val="num" w:pos="1122"/>
        </w:tabs>
        <w:ind w:left="1117" w:hanging="357"/>
        <w:rPr>
          <w:rFonts w:cs="Arial"/>
          <w:spacing w:val="0"/>
          <w:lang w:eastAsia="en-GB"/>
        </w:rPr>
      </w:pPr>
      <w:r w:rsidRPr="00696A5D">
        <w:rPr>
          <w:rFonts w:cs="Arial"/>
          <w:spacing w:val="0"/>
          <w:lang w:eastAsia="en-GB"/>
        </w:rPr>
        <w:t>an annual report on the strategy and plan to be pursued in the coming year, to Full Council</w:t>
      </w:r>
    </w:p>
    <w:p w14:paraId="6290EFE3" w14:textId="77777777" w:rsidR="00CF69B5" w:rsidRPr="00696A5D" w:rsidRDefault="00CF69B5" w:rsidP="00CF69B5">
      <w:pPr>
        <w:tabs>
          <w:tab w:val="num" w:pos="1122"/>
        </w:tabs>
        <w:ind w:left="760"/>
        <w:rPr>
          <w:rFonts w:cs="Arial"/>
          <w:spacing w:val="0"/>
          <w:lang w:eastAsia="en-GB"/>
        </w:rPr>
      </w:pPr>
    </w:p>
    <w:p w14:paraId="6D4FC2FC" w14:textId="77777777" w:rsidR="00CF69B5" w:rsidRPr="00696A5D" w:rsidRDefault="00A724BF" w:rsidP="00B279C0">
      <w:pPr>
        <w:numPr>
          <w:ilvl w:val="0"/>
          <w:numId w:val="32"/>
        </w:numPr>
        <w:tabs>
          <w:tab w:val="num" w:pos="1122"/>
        </w:tabs>
        <w:ind w:left="1122"/>
        <w:rPr>
          <w:rFonts w:cs="Arial"/>
          <w:spacing w:val="0"/>
          <w:lang w:eastAsia="en-GB"/>
        </w:rPr>
      </w:pPr>
      <w:r w:rsidRPr="00696A5D">
        <w:rPr>
          <w:rFonts w:cs="Arial"/>
          <w:spacing w:val="0"/>
          <w:lang w:eastAsia="en-GB"/>
        </w:rPr>
        <w:t xml:space="preserve">a mid-year review on the current performance of the treasury management function, to </w:t>
      </w:r>
      <w:r w:rsidR="00BA6695" w:rsidRPr="00696A5D">
        <w:rPr>
          <w:rFonts w:cs="Arial"/>
          <w:spacing w:val="0"/>
          <w:lang w:eastAsia="en-GB"/>
        </w:rPr>
        <w:t>Audit &amp; Scrutiny Committee</w:t>
      </w:r>
    </w:p>
    <w:p w14:paraId="27F8307D" w14:textId="77777777" w:rsidR="00CF69B5" w:rsidRPr="00696A5D" w:rsidRDefault="00CF69B5" w:rsidP="00CF69B5">
      <w:pPr>
        <w:tabs>
          <w:tab w:val="num" w:pos="1122"/>
        </w:tabs>
        <w:ind w:left="762"/>
        <w:rPr>
          <w:rFonts w:cs="Arial"/>
          <w:spacing w:val="0"/>
          <w:lang w:eastAsia="en-GB"/>
        </w:rPr>
      </w:pPr>
    </w:p>
    <w:p w14:paraId="7768F776" w14:textId="77777777" w:rsidR="00CF69B5" w:rsidRPr="00696A5D" w:rsidRDefault="00A724BF" w:rsidP="00B279C0">
      <w:pPr>
        <w:numPr>
          <w:ilvl w:val="0"/>
          <w:numId w:val="32"/>
        </w:numPr>
        <w:tabs>
          <w:tab w:val="num" w:pos="1122"/>
        </w:tabs>
        <w:ind w:left="1122"/>
        <w:rPr>
          <w:rFonts w:cs="Arial"/>
          <w:spacing w:val="0"/>
          <w:lang w:eastAsia="en-GB"/>
        </w:rPr>
      </w:pPr>
      <w:r w:rsidRPr="00696A5D">
        <w:rPr>
          <w:rFonts w:cs="Arial"/>
          <w:spacing w:val="0"/>
          <w:lang w:eastAsia="en-GB"/>
        </w:rPr>
        <w:t xml:space="preserve">an annual report on the performance of the treasury management function, to </w:t>
      </w:r>
      <w:r w:rsidR="00BA6695" w:rsidRPr="00696A5D">
        <w:rPr>
          <w:rFonts w:cs="Arial"/>
          <w:spacing w:val="0"/>
          <w:lang w:eastAsia="en-GB"/>
        </w:rPr>
        <w:t>Audit &amp; Scrutiny</w:t>
      </w:r>
      <w:r w:rsidRPr="00696A5D">
        <w:rPr>
          <w:rFonts w:cs="Arial"/>
          <w:spacing w:val="0"/>
          <w:lang w:eastAsia="en-GB"/>
        </w:rPr>
        <w:t xml:space="preserve"> Committee, on the effects of the decisions taken and the transactions executed in the past year, and on any circumstances of non-compliance with the organisation’s treasury management policy statement and TMPs. </w:t>
      </w:r>
    </w:p>
    <w:p w14:paraId="10EA51B9" w14:textId="77777777" w:rsidR="00CF69B5" w:rsidRPr="00696A5D" w:rsidRDefault="00CF69B5" w:rsidP="00CF69B5">
      <w:pPr>
        <w:rPr>
          <w:rFonts w:cs="Arial"/>
          <w:spacing w:val="0"/>
          <w:lang w:eastAsia="en-GB"/>
        </w:rPr>
      </w:pPr>
    </w:p>
    <w:p w14:paraId="084DD065" w14:textId="77777777" w:rsidR="00CF69B5" w:rsidRPr="00696A5D" w:rsidRDefault="00A724BF" w:rsidP="009F4CF9">
      <w:pPr>
        <w:pStyle w:val="Subheading"/>
        <w:rPr>
          <w:sz w:val="20"/>
          <w:szCs w:val="20"/>
          <w:lang w:eastAsia="en-GB"/>
        </w:rPr>
      </w:pPr>
      <w:r w:rsidRPr="00696A5D">
        <w:rPr>
          <w:sz w:val="20"/>
          <w:szCs w:val="20"/>
          <w:lang w:eastAsia="en-GB"/>
        </w:rPr>
        <w:t xml:space="preserve">TMP7 Budgeting, accounting and audit arrangements </w:t>
      </w:r>
    </w:p>
    <w:p w14:paraId="2C407049" w14:textId="77777777" w:rsidR="00CF69B5" w:rsidRPr="00696A5D" w:rsidRDefault="00CF69B5" w:rsidP="00CF69B5">
      <w:pPr>
        <w:rPr>
          <w:rFonts w:cs="Arial"/>
          <w:b/>
          <w:spacing w:val="0"/>
          <w:lang w:eastAsia="en-GB"/>
        </w:rPr>
      </w:pPr>
    </w:p>
    <w:p w14:paraId="3F205FD6" w14:textId="77777777" w:rsidR="00CF69B5" w:rsidRPr="00696A5D" w:rsidRDefault="00A724BF" w:rsidP="00CF69B5">
      <w:pPr>
        <w:ind w:right="11"/>
        <w:jc w:val="both"/>
        <w:rPr>
          <w:rFonts w:cs="Arial"/>
          <w:spacing w:val="0"/>
          <w:lang w:eastAsia="en-GB"/>
        </w:rPr>
      </w:pPr>
      <w:r w:rsidRPr="00696A5D">
        <w:rPr>
          <w:rFonts w:cs="Arial"/>
          <w:spacing w:val="0"/>
          <w:lang w:eastAsia="en-GB"/>
        </w:rPr>
        <w:t xml:space="preserve">The Chief Finance Officer will prepare, and Epsom &amp; Ewell Borough Council will approve and, if necessary, from time to time will amend, an annual budget for treasury management, which will bring together </w:t>
      </w:r>
      <w:proofErr w:type="gramStart"/>
      <w:r w:rsidRPr="00696A5D">
        <w:rPr>
          <w:rFonts w:cs="Arial"/>
          <w:spacing w:val="0"/>
          <w:lang w:eastAsia="en-GB"/>
        </w:rPr>
        <w:t>all of</w:t>
      </w:r>
      <w:proofErr w:type="gramEnd"/>
      <w:r w:rsidRPr="00696A5D">
        <w:rPr>
          <w:rFonts w:cs="Arial"/>
          <w:spacing w:val="0"/>
          <w:lang w:eastAsia="en-GB"/>
        </w:rPr>
        <w:t xml:space="preserve"> the costs involved in running the treasury management functions, together with associated income. The matters to be included in the budget will at minimum be those required by statute or regulation, together with such information as will demonstrate compliance with TMP1 </w:t>
      </w:r>
      <w:r w:rsidRPr="00696A5D">
        <w:rPr>
          <w:rFonts w:cs="Arial"/>
          <w:i/>
          <w:spacing w:val="0"/>
          <w:lang w:eastAsia="en-GB"/>
        </w:rPr>
        <w:t>Risk management</w:t>
      </w:r>
      <w:r w:rsidRPr="00696A5D">
        <w:rPr>
          <w:rFonts w:cs="Arial"/>
          <w:spacing w:val="0"/>
          <w:lang w:eastAsia="en-GB"/>
        </w:rPr>
        <w:t xml:space="preserve">, TMP2 </w:t>
      </w:r>
      <w:r w:rsidRPr="00696A5D">
        <w:rPr>
          <w:rFonts w:cs="Arial"/>
          <w:i/>
          <w:spacing w:val="0"/>
          <w:lang w:eastAsia="en-GB"/>
        </w:rPr>
        <w:t>Best value and performance measurement</w:t>
      </w:r>
      <w:r w:rsidRPr="00696A5D">
        <w:rPr>
          <w:rFonts w:cs="Arial"/>
          <w:spacing w:val="0"/>
          <w:lang w:eastAsia="en-GB"/>
        </w:rPr>
        <w:t xml:space="preserve">, and TMP4 </w:t>
      </w:r>
      <w:r w:rsidRPr="00696A5D">
        <w:rPr>
          <w:rFonts w:cs="Arial"/>
          <w:i/>
          <w:spacing w:val="0"/>
          <w:lang w:eastAsia="en-GB"/>
        </w:rPr>
        <w:t>Approved instruments, methods and techniques</w:t>
      </w:r>
      <w:r w:rsidRPr="00696A5D">
        <w:rPr>
          <w:rFonts w:cs="Arial"/>
          <w:spacing w:val="0"/>
          <w:lang w:eastAsia="en-GB"/>
        </w:rPr>
        <w:t xml:space="preserve">. The responsible officer will exercise effective controls over this budget, and will report upon and recommend any changes required in accordance with TMP6 </w:t>
      </w:r>
      <w:r w:rsidRPr="00696A5D">
        <w:rPr>
          <w:rFonts w:cs="Arial"/>
          <w:i/>
          <w:spacing w:val="0"/>
          <w:lang w:eastAsia="en-GB"/>
        </w:rPr>
        <w:t xml:space="preserve">Reporting requirements and management information arrangement. </w:t>
      </w:r>
    </w:p>
    <w:p w14:paraId="58095AE0" w14:textId="77777777" w:rsidR="00CF69B5" w:rsidRPr="00696A5D" w:rsidRDefault="00CF69B5" w:rsidP="00CF69B5">
      <w:pPr>
        <w:rPr>
          <w:rFonts w:cs="Arial"/>
          <w:spacing w:val="0"/>
          <w:lang w:eastAsia="en-GB"/>
        </w:rPr>
      </w:pPr>
    </w:p>
    <w:p w14:paraId="79F01DCF" w14:textId="77777777" w:rsidR="00CF69B5" w:rsidRPr="00696A5D" w:rsidRDefault="00A724BF" w:rsidP="00CF69B5">
      <w:pPr>
        <w:ind w:right="11"/>
        <w:jc w:val="both"/>
        <w:rPr>
          <w:rFonts w:cs="Arial"/>
          <w:spacing w:val="0"/>
          <w:lang w:eastAsia="en-GB"/>
        </w:rPr>
      </w:pPr>
      <w:r w:rsidRPr="00696A5D">
        <w:rPr>
          <w:rFonts w:cs="Arial"/>
          <w:spacing w:val="0"/>
          <w:lang w:eastAsia="en-GB"/>
        </w:rPr>
        <w:t xml:space="preserve">Epsom &amp; Ewell Borough Council will account for its treasury management activities, for decisions made and transactions executed, in accordance with appropriate accounting practices and standards, and with statutory and regulatory requirements in force for the time being. </w:t>
      </w:r>
    </w:p>
    <w:p w14:paraId="0BB4979F" w14:textId="77777777" w:rsidR="00CF69B5" w:rsidRPr="00696A5D" w:rsidRDefault="00CF69B5" w:rsidP="00CF69B5">
      <w:pPr>
        <w:rPr>
          <w:rFonts w:cs="Arial"/>
          <w:spacing w:val="0"/>
          <w:lang w:eastAsia="en-GB"/>
        </w:rPr>
      </w:pPr>
    </w:p>
    <w:p w14:paraId="2A296756" w14:textId="77777777" w:rsidR="00CF69B5" w:rsidRPr="00696A5D" w:rsidRDefault="00A724BF" w:rsidP="00CF69B5">
      <w:pPr>
        <w:ind w:right="11"/>
        <w:jc w:val="both"/>
        <w:rPr>
          <w:rFonts w:cs="Arial"/>
          <w:b/>
          <w:color w:val="FF0000"/>
          <w:spacing w:val="0"/>
          <w:lang w:eastAsia="en-GB"/>
        </w:rPr>
      </w:pPr>
      <w:r w:rsidRPr="00696A5D">
        <w:rPr>
          <w:rFonts w:cs="Arial"/>
          <w:spacing w:val="0"/>
          <w:lang w:eastAsia="en-GB"/>
        </w:rPr>
        <w:t xml:space="preserve">Epsom &amp; Ewell Borough Council will ensure that its auditors, and those charged with regulatory review, have access to all information and papers supporting the activities of the treasury management function as are necessary for the proper fulfilment of their roles, and that such information and papers demonstrate compliance with external and internal policies and approved practices. </w:t>
      </w:r>
    </w:p>
    <w:p w14:paraId="116E070A" w14:textId="77777777" w:rsidR="00CF69B5" w:rsidRPr="00696A5D" w:rsidRDefault="00CF69B5" w:rsidP="00CF69B5">
      <w:pPr>
        <w:ind w:right="11"/>
        <w:jc w:val="both"/>
        <w:rPr>
          <w:rFonts w:cs="Arial"/>
          <w:b/>
          <w:color w:val="FF0000"/>
          <w:spacing w:val="0"/>
          <w:lang w:eastAsia="en-GB"/>
        </w:rPr>
      </w:pPr>
    </w:p>
    <w:p w14:paraId="4510D855" w14:textId="77777777" w:rsidR="00CF69B5" w:rsidRPr="00696A5D" w:rsidRDefault="00A724BF" w:rsidP="009F4CF9">
      <w:pPr>
        <w:pStyle w:val="Subheading"/>
        <w:rPr>
          <w:sz w:val="20"/>
          <w:szCs w:val="20"/>
          <w:lang w:eastAsia="en-GB"/>
        </w:rPr>
      </w:pPr>
      <w:r w:rsidRPr="00696A5D">
        <w:rPr>
          <w:sz w:val="20"/>
          <w:szCs w:val="20"/>
          <w:lang w:eastAsia="en-GB"/>
        </w:rPr>
        <w:t>TMP8 Cash and cash flow management</w:t>
      </w:r>
    </w:p>
    <w:p w14:paraId="32481C95" w14:textId="77777777" w:rsidR="00CF69B5" w:rsidRPr="00696A5D" w:rsidRDefault="00CF69B5" w:rsidP="00CF69B5">
      <w:pPr>
        <w:rPr>
          <w:rFonts w:cs="Arial"/>
          <w:b/>
          <w:spacing w:val="0"/>
          <w:lang w:eastAsia="en-GB"/>
        </w:rPr>
      </w:pPr>
    </w:p>
    <w:p w14:paraId="137D4298" w14:textId="77777777" w:rsidR="00CF69B5" w:rsidRPr="00696A5D" w:rsidRDefault="00A724BF" w:rsidP="00CF69B5">
      <w:pPr>
        <w:ind w:right="11"/>
        <w:jc w:val="both"/>
        <w:rPr>
          <w:rFonts w:cs="Arial"/>
          <w:spacing w:val="0"/>
          <w:lang w:val="en-US"/>
        </w:rPr>
      </w:pPr>
      <w:r w:rsidRPr="00696A5D">
        <w:rPr>
          <w:rFonts w:cs="Arial"/>
          <w:spacing w:val="0"/>
          <w:lang w:val="en-US"/>
        </w:rPr>
        <w:t xml:space="preserve">Cash flow projections are prepared annually and updated daily. The annual cash flow projections are prepared from the previous years’ cash flow records, adjusted for known changes in levels of income and expenditure </w:t>
      </w:r>
      <w:proofErr w:type="gramStart"/>
      <w:r w:rsidRPr="00696A5D">
        <w:rPr>
          <w:rFonts w:cs="Arial"/>
          <w:spacing w:val="0"/>
          <w:lang w:val="en-US"/>
        </w:rPr>
        <w:t>and also</w:t>
      </w:r>
      <w:proofErr w:type="gramEnd"/>
      <w:r w:rsidRPr="00696A5D">
        <w:rPr>
          <w:rFonts w:cs="Arial"/>
          <w:spacing w:val="0"/>
          <w:lang w:val="en-US"/>
        </w:rPr>
        <w:t xml:space="preserve"> changes in </w:t>
      </w:r>
      <w:proofErr w:type="gramStart"/>
      <w:r w:rsidRPr="00696A5D">
        <w:rPr>
          <w:rFonts w:cs="Arial"/>
          <w:spacing w:val="0"/>
          <w:lang w:val="en-US"/>
        </w:rPr>
        <w:t>payments</w:t>
      </w:r>
      <w:proofErr w:type="gramEnd"/>
      <w:r w:rsidRPr="00696A5D">
        <w:rPr>
          <w:rFonts w:cs="Arial"/>
          <w:spacing w:val="0"/>
          <w:lang w:val="en-US"/>
        </w:rPr>
        <w:t xml:space="preserve"> and receipts dates. These details are supplemented on an ongoing basis by information received of new or revised amounts to be paid or received as and when they are known.</w:t>
      </w:r>
    </w:p>
    <w:p w14:paraId="4770791D" w14:textId="77777777" w:rsidR="00CF69B5" w:rsidRPr="00696A5D" w:rsidRDefault="00CF69B5" w:rsidP="00CF69B5">
      <w:pPr>
        <w:ind w:left="426" w:right="14"/>
        <w:jc w:val="both"/>
        <w:rPr>
          <w:rFonts w:cs="Arial"/>
          <w:spacing w:val="0"/>
          <w:lang w:eastAsia="en-GB"/>
        </w:rPr>
      </w:pPr>
    </w:p>
    <w:p w14:paraId="40E33AB5" w14:textId="77777777" w:rsidR="00CF69B5" w:rsidRPr="00696A5D" w:rsidRDefault="00A724BF" w:rsidP="00CF69B5">
      <w:pPr>
        <w:ind w:right="11"/>
        <w:jc w:val="both"/>
        <w:rPr>
          <w:rFonts w:cs="Arial"/>
          <w:spacing w:val="0"/>
          <w:lang w:eastAsia="en-GB"/>
        </w:rPr>
      </w:pPr>
      <w:r w:rsidRPr="00696A5D">
        <w:rPr>
          <w:rFonts w:cs="Arial"/>
          <w:spacing w:val="0"/>
          <w:lang w:eastAsia="en-GB"/>
        </w:rPr>
        <w:t xml:space="preserve">Unless statutory or regulatory requirements demand otherwise, all monies in the hands of this organisation will be under the control of the Chief Finance </w:t>
      </w:r>
      <w:proofErr w:type="gramStart"/>
      <w:r w:rsidRPr="00696A5D">
        <w:rPr>
          <w:rFonts w:cs="Arial"/>
          <w:spacing w:val="0"/>
          <w:lang w:eastAsia="en-GB"/>
        </w:rPr>
        <w:t>Officer, and</w:t>
      </w:r>
      <w:proofErr w:type="gramEnd"/>
      <w:r w:rsidRPr="00696A5D">
        <w:rPr>
          <w:rFonts w:cs="Arial"/>
          <w:spacing w:val="0"/>
          <w:lang w:eastAsia="en-GB"/>
        </w:rPr>
        <w:t xml:space="preserve"> will be aggregated for cash flow and investment management purposes. Cash flow projections will be prepared on a regular and timely basis, and the responsible officer will ensure that these are adequate for the purposes of monitoring.</w:t>
      </w:r>
    </w:p>
    <w:p w14:paraId="684FFE2E" w14:textId="77777777" w:rsidR="00CF69B5" w:rsidRPr="00696A5D" w:rsidRDefault="00CF69B5" w:rsidP="00CF69B5">
      <w:pPr>
        <w:ind w:left="720"/>
        <w:rPr>
          <w:rFonts w:cs="Arial"/>
          <w:spacing w:val="0"/>
          <w:lang w:eastAsia="en-GB"/>
        </w:rPr>
      </w:pPr>
    </w:p>
    <w:p w14:paraId="5FD70F0A" w14:textId="77777777" w:rsidR="00CF69B5" w:rsidRPr="00696A5D" w:rsidRDefault="00A724BF" w:rsidP="009F4CF9">
      <w:pPr>
        <w:pStyle w:val="Subheading"/>
        <w:rPr>
          <w:sz w:val="20"/>
          <w:szCs w:val="20"/>
          <w:lang w:eastAsia="en-GB"/>
        </w:rPr>
      </w:pPr>
      <w:r w:rsidRPr="00696A5D">
        <w:rPr>
          <w:sz w:val="20"/>
          <w:szCs w:val="20"/>
          <w:lang w:eastAsia="en-GB"/>
        </w:rPr>
        <w:t xml:space="preserve">TMP9 Money Laundering </w:t>
      </w:r>
    </w:p>
    <w:p w14:paraId="5868D4CA" w14:textId="77777777" w:rsidR="00CF69B5" w:rsidRPr="00696A5D" w:rsidRDefault="00CF69B5" w:rsidP="00CF69B5">
      <w:pPr>
        <w:rPr>
          <w:rFonts w:cs="Arial"/>
          <w:spacing w:val="0"/>
          <w:lang w:eastAsia="en-GB"/>
        </w:rPr>
      </w:pPr>
    </w:p>
    <w:p w14:paraId="48B82146" w14:textId="77777777" w:rsidR="00CF69B5" w:rsidRPr="00696A5D" w:rsidRDefault="00A724BF" w:rsidP="00CF69B5">
      <w:pPr>
        <w:spacing w:after="90"/>
        <w:ind w:right="11"/>
        <w:jc w:val="both"/>
        <w:rPr>
          <w:rFonts w:cs="Arial"/>
          <w:spacing w:val="0"/>
          <w:lang w:eastAsia="en-GB"/>
        </w:rPr>
      </w:pPr>
      <w:r w:rsidRPr="00696A5D">
        <w:rPr>
          <w:rFonts w:cs="Arial"/>
          <w:spacing w:val="0"/>
          <w:lang w:eastAsia="en-GB"/>
        </w:rPr>
        <w:t xml:space="preserve">Epsom &amp; Ewell Borough Council is alert to the possibility that it may become the subject of an attempt to involve it in a transaction involving the laundering of money. Accordingly, it will maintain procedures for verifying and recording the identity of counterparties and reporting suspicions, and will ensure that staff involved in this are properly trained. </w:t>
      </w:r>
    </w:p>
    <w:p w14:paraId="5AE156BD" w14:textId="77777777" w:rsidR="00CF69B5" w:rsidRPr="00696A5D" w:rsidRDefault="00CF69B5" w:rsidP="00CF69B5">
      <w:pPr>
        <w:keepNext/>
        <w:rPr>
          <w:rFonts w:cs="Arial"/>
          <w:b/>
          <w:spacing w:val="0"/>
          <w:lang w:eastAsia="en-GB"/>
        </w:rPr>
      </w:pPr>
    </w:p>
    <w:p w14:paraId="11C98879" w14:textId="77777777" w:rsidR="00CF69B5" w:rsidRPr="00696A5D" w:rsidRDefault="00A724BF" w:rsidP="009F4CF9">
      <w:pPr>
        <w:pStyle w:val="Subheading"/>
        <w:rPr>
          <w:sz w:val="20"/>
          <w:szCs w:val="20"/>
          <w:lang w:eastAsia="en-GB"/>
        </w:rPr>
      </w:pPr>
      <w:r w:rsidRPr="00696A5D">
        <w:rPr>
          <w:sz w:val="20"/>
          <w:szCs w:val="20"/>
          <w:lang w:eastAsia="en-GB"/>
        </w:rPr>
        <w:t>TMP10 Staff training and qualifications</w:t>
      </w:r>
    </w:p>
    <w:p w14:paraId="7B854E70" w14:textId="77777777" w:rsidR="00CF69B5" w:rsidRPr="00696A5D" w:rsidRDefault="00CF69B5" w:rsidP="00CF69B5">
      <w:pPr>
        <w:ind w:right="14"/>
        <w:jc w:val="both"/>
        <w:rPr>
          <w:rFonts w:cs="Arial"/>
          <w:spacing w:val="0"/>
          <w:lang w:eastAsia="en-GB"/>
        </w:rPr>
      </w:pPr>
    </w:p>
    <w:p w14:paraId="441F1FA4" w14:textId="77777777" w:rsidR="00CF69B5" w:rsidRPr="00696A5D" w:rsidRDefault="00A724BF" w:rsidP="00CF69B5">
      <w:pPr>
        <w:ind w:right="14"/>
        <w:jc w:val="both"/>
        <w:rPr>
          <w:rFonts w:cs="Arial"/>
          <w:spacing w:val="0"/>
          <w:lang w:eastAsia="en-GB"/>
        </w:rPr>
      </w:pPr>
      <w:r w:rsidRPr="00696A5D">
        <w:rPr>
          <w:rFonts w:cs="Arial"/>
          <w:spacing w:val="0"/>
          <w:lang w:eastAsia="en-GB"/>
        </w:rPr>
        <w:t xml:space="preserve">The Council recognises that relevant individuals will need appropriate levels of training in treasury management due to its increasing complexity. There are two categories of relevant individuals: - </w:t>
      </w:r>
    </w:p>
    <w:p w14:paraId="790DA147" w14:textId="77777777" w:rsidR="00CF69B5" w:rsidRPr="00696A5D" w:rsidRDefault="00CF69B5" w:rsidP="00CF69B5">
      <w:pPr>
        <w:ind w:left="357" w:right="11"/>
        <w:jc w:val="both"/>
        <w:rPr>
          <w:rFonts w:cs="Arial"/>
          <w:spacing w:val="0"/>
          <w:lang w:eastAsia="en-GB"/>
        </w:rPr>
      </w:pPr>
    </w:p>
    <w:p w14:paraId="1AF124AB" w14:textId="77777777" w:rsidR="00CF69B5" w:rsidRPr="00696A5D" w:rsidRDefault="00A724BF" w:rsidP="00B279C0">
      <w:pPr>
        <w:numPr>
          <w:ilvl w:val="0"/>
          <w:numId w:val="33"/>
        </w:numPr>
        <w:ind w:left="714" w:right="11" w:hanging="357"/>
        <w:jc w:val="both"/>
        <w:rPr>
          <w:rFonts w:cs="Arial"/>
          <w:spacing w:val="0"/>
          <w:lang w:eastAsia="en-GB"/>
        </w:rPr>
      </w:pPr>
      <w:r w:rsidRPr="00696A5D">
        <w:rPr>
          <w:rFonts w:cs="Arial"/>
          <w:spacing w:val="0"/>
          <w:lang w:eastAsia="en-GB"/>
        </w:rPr>
        <w:t>Treasury management staff employed by the Council</w:t>
      </w:r>
    </w:p>
    <w:p w14:paraId="301881F9" w14:textId="77777777" w:rsidR="00CF69B5" w:rsidRPr="00696A5D" w:rsidRDefault="00CF69B5" w:rsidP="00CF69B5">
      <w:pPr>
        <w:ind w:left="357" w:right="11"/>
        <w:jc w:val="both"/>
        <w:rPr>
          <w:rFonts w:cs="Arial"/>
          <w:spacing w:val="0"/>
          <w:lang w:eastAsia="en-GB"/>
        </w:rPr>
      </w:pPr>
    </w:p>
    <w:p w14:paraId="373EFCBB" w14:textId="77777777" w:rsidR="00CF69B5" w:rsidRPr="00696A5D" w:rsidRDefault="00A724BF" w:rsidP="00B279C0">
      <w:pPr>
        <w:numPr>
          <w:ilvl w:val="0"/>
          <w:numId w:val="33"/>
        </w:numPr>
        <w:ind w:right="14"/>
        <w:jc w:val="both"/>
        <w:rPr>
          <w:rFonts w:cs="Arial"/>
          <w:spacing w:val="0"/>
          <w:lang w:eastAsia="en-GB"/>
        </w:rPr>
      </w:pPr>
      <w:r w:rsidRPr="00696A5D">
        <w:rPr>
          <w:rFonts w:cs="Arial"/>
          <w:spacing w:val="0"/>
          <w:lang w:eastAsia="en-GB"/>
        </w:rPr>
        <w:t>Members charged with governance of the treasury management function</w:t>
      </w:r>
    </w:p>
    <w:p w14:paraId="06727285" w14:textId="77777777" w:rsidR="00CF69B5" w:rsidRPr="00696A5D" w:rsidRDefault="00CF69B5" w:rsidP="00CF69B5">
      <w:pPr>
        <w:ind w:right="14"/>
        <w:jc w:val="both"/>
        <w:rPr>
          <w:rFonts w:cs="Arial"/>
          <w:spacing w:val="0"/>
          <w:lang w:eastAsia="en-GB"/>
        </w:rPr>
      </w:pPr>
    </w:p>
    <w:p w14:paraId="6FA010F6" w14:textId="77777777" w:rsidR="00CF69B5" w:rsidRPr="00696A5D" w:rsidRDefault="00A724BF" w:rsidP="00CF69B5">
      <w:pPr>
        <w:ind w:right="14"/>
        <w:jc w:val="both"/>
        <w:rPr>
          <w:rFonts w:cs="Arial"/>
          <w:spacing w:val="0"/>
          <w:lang w:eastAsia="en-GB"/>
        </w:rPr>
      </w:pPr>
      <w:r w:rsidRPr="00696A5D">
        <w:rPr>
          <w:rFonts w:cs="Arial"/>
          <w:spacing w:val="0"/>
          <w:lang w:eastAsia="en-GB"/>
        </w:rPr>
        <w:t>All treasury management staff should receive appropriate training relevant to the requirements of their duties at the appropriate time.</w:t>
      </w:r>
    </w:p>
    <w:p w14:paraId="6AB7937E" w14:textId="77777777" w:rsidR="00CF69B5" w:rsidRPr="00696A5D" w:rsidRDefault="00CF69B5" w:rsidP="00CF69B5">
      <w:pPr>
        <w:ind w:right="14"/>
        <w:jc w:val="both"/>
        <w:rPr>
          <w:rFonts w:cs="Arial"/>
          <w:spacing w:val="0"/>
          <w:lang w:eastAsia="en-GB"/>
        </w:rPr>
      </w:pPr>
    </w:p>
    <w:p w14:paraId="1FA238CB" w14:textId="77777777" w:rsidR="00CF69B5" w:rsidRPr="00696A5D" w:rsidRDefault="00A724BF" w:rsidP="00CF69B5">
      <w:pPr>
        <w:ind w:right="14"/>
        <w:jc w:val="both"/>
        <w:rPr>
          <w:rFonts w:cs="Arial"/>
          <w:spacing w:val="0"/>
          <w:lang w:eastAsia="en-GB"/>
        </w:rPr>
      </w:pPr>
      <w:r w:rsidRPr="00696A5D">
        <w:rPr>
          <w:rFonts w:cs="Arial"/>
          <w:spacing w:val="0"/>
          <w:lang w:eastAsia="en-GB"/>
        </w:rPr>
        <w:t>Additionally, training may also be provided on the job and it will be the responsibility of the Chief Finance Officer to ensure that all staff under his authority receive the level of training appropriate to their duties.  This will also apply to those staff who from time to time cover for absences from the treasury management team.</w:t>
      </w:r>
    </w:p>
    <w:p w14:paraId="2D698C6E" w14:textId="77777777" w:rsidR="00CF69B5" w:rsidRPr="00696A5D" w:rsidRDefault="00CF69B5" w:rsidP="00CF69B5">
      <w:pPr>
        <w:ind w:right="14"/>
        <w:jc w:val="both"/>
        <w:rPr>
          <w:rFonts w:cs="Arial"/>
          <w:spacing w:val="0"/>
          <w:lang w:eastAsia="en-GB"/>
        </w:rPr>
      </w:pPr>
    </w:p>
    <w:p w14:paraId="453D12C8" w14:textId="77777777" w:rsidR="00B279C0" w:rsidRPr="00696A5D" w:rsidRDefault="00B279C0" w:rsidP="00CF69B5">
      <w:pPr>
        <w:ind w:right="15"/>
        <w:jc w:val="both"/>
        <w:rPr>
          <w:rFonts w:cs="Arial"/>
          <w:b/>
          <w:spacing w:val="0"/>
          <w:lang w:eastAsia="en-GB"/>
        </w:rPr>
      </w:pPr>
    </w:p>
    <w:p w14:paraId="53064CAF" w14:textId="77777777" w:rsidR="00CF69B5" w:rsidRPr="00696A5D" w:rsidRDefault="00A724BF" w:rsidP="00CF69B5">
      <w:pPr>
        <w:ind w:right="15"/>
        <w:jc w:val="both"/>
        <w:rPr>
          <w:rFonts w:cs="Arial"/>
          <w:b/>
          <w:spacing w:val="0"/>
          <w:lang w:eastAsia="en-GB"/>
        </w:rPr>
      </w:pPr>
      <w:r w:rsidRPr="00696A5D">
        <w:rPr>
          <w:rFonts w:cs="Arial"/>
          <w:b/>
          <w:spacing w:val="0"/>
          <w:lang w:eastAsia="en-GB"/>
        </w:rPr>
        <w:t>Details of Approved Training Courses</w:t>
      </w:r>
    </w:p>
    <w:p w14:paraId="33B8C119" w14:textId="77777777" w:rsidR="00CF69B5" w:rsidRPr="00696A5D" w:rsidRDefault="00CF69B5" w:rsidP="00CF69B5">
      <w:pPr>
        <w:tabs>
          <w:tab w:val="num" w:pos="0"/>
        </w:tabs>
        <w:ind w:right="14"/>
        <w:jc w:val="both"/>
        <w:rPr>
          <w:rFonts w:cs="Arial"/>
          <w:spacing w:val="0"/>
          <w:lang w:eastAsia="en-GB"/>
        </w:rPr>
      </w:pPr>
    </w:p>
    <w:p w14:paraId="51D4A8A8" w14:textId="77777777" w:rsidR="00CF69B5" w:rsidRPr="00696A5D" w:rsidRDefault="00A724BF" w:rsidP="00CF69B5">
      <w:pPr>
        <w:tabs>
          <w:tab w:val="num" w:pos="0"/>
        </w:tabs>
        <w:ind w:right="14"/>
        <w:jc w:val="both"/>
        <w:rPr>
          <w:rFonts w:cs="Arial"/>
          <w:spacing w:val="0"/>
          <w:lang w:eastAsia="en-GB"/>
        </w:rPr>
      </w:pPr>
      <w:r w:rsidRPr="00696A5D">
        <w:rPr>
          <w:rFonts w:cs="Arial"/>
          <w:spacing w:val="0"/>
          <w:lang w:eastAsia="en-GB"/>
        </w:rPr>
        <w:t>Treasury management staff and members will go on courses provided by our treasury management consultants, CIPFA, money brokers etc.</w:t>
      </w:r>
    </w:p>
    <w:p w14:paraId="6657274B" w14:textId="77777777" w:rsidR="00CF69B5" w:rsidRPr="00696A5D" w:rsidRDefault="00CF69B5" w:rsidP="00CF69B5">
      <w:pPr>
        <w:tabs>
          <w:tab w:val="num" w:pos="630"/>
        </w:tabs>
        <w:ind w:left="630" w:right="14"/>
        <w:jc w:val="both"/>
        <w:rPr>
          <w:rFonts w:cs="Arial"/>
          <w:spacing w:val="0"/>
          <w:lang w:eastAsia="en-GB"/>
        </w:rPr>
      </w:pPr>
    </w:p>
    <w:p w14:paraId="388B6886" w14:textId="77777777" w:rsidR="00CF69B5" w:rsidRPr="00696A5D" w:rsidRDefault="00A724BF" w:rsidP="00CF69B5">
      <w:pPr>
        <w:ind w:right="15"/>
        <w:jc w:val="both"/>
        <w:rPr>
          <w:rFonts w:cs="Arial"/>
          <w:b/>
          <w:spacing w:val="0"/>
          <w:lang w:eastAsia="en-GB"/>
        </w:rPr>
      </w:pPr>
      <w:r w:rsidRPr="00696A5D">
        <w:rPr>
          <w:rFonts w:cs="Arial"/>
          <w:b/>
          <w:spacing w:val="0"/>
          <w:lang w:eastAsia="en-GB"/>
        </w:rPr>
        <w:t>Statement of Professional Practice (SOPP)</w:t>
      </w:r>
    </w:p>
    <w:p w14:paraId="5735B552" w14:textId="77777777" w:rsidR="00CF69B5" w:rsidRPr="00696A5D" w:rsidRDefault="00CF69B5" w:rsidP="00CF69B5">
      <w:pPr>
        <w:ind w:left="270"/>
        <w:jc w:val="both"/>
        <w:rPr>
          <w:rFonts w:cs="Arial"/>
          <w:spacing w:val="0"/>
          <w:lang w:eastAsia="en-GB"/>
        </w:rPr>
      </w:pPr>
    </w:p>
    <w:p w14:paraId="4279E00F" w14:textId="77777777" w:rsidR="00CF69B5" w:rsidRPr="00696A5D" w:rsidRDefault="00A724BF" w:rsidP="00B279C0">
      <w:pPr>
        <w:numPr>
          <w:ilvl w:val="0"/>
          <w:numId w:val="34"/>
        </w:numPr>
        <w:tabs>
          <w:tab w:val="clear" w:pos="720"/>
          <w:tab w:val="num" w:pos="990"/>
        </w:tabs>
        <w:ind w:left="990"/>
        <w:jc w:val="both"/>
        <w:rPr>
          <w:rFonts w:cs="Arial"/>
          <w:spacing w:val="0"/>
          <w:lang w:eastAsia="en-GB"/>
        </w:rPr>
      </w:pPr>
      <w:r w:rsidRPr="00696A5D">
        <w:rPr>
          <w:rFonts w:cs="Arial"/>
          <w:spacing w:val="0"/>
          <w:lang w:eastAsia="en-GB"/>
        </w:rPr>
        <w:t xml:space="preserve">Where the Chief Financial Officer is a member of CIPFA, there is a professional need for the CFO to be seen to be committed to professional responsibilities through both personal compliance and by ensuring that relevant staff are appropriately trained. </w:t>
      </w:r>
    </w:p>
    <w:p w14:paraId="58956E0C" w14:textId="77777777" w:rsidR="00CF69B5" w:rsidRPr="00696A5D" w:rsidRDefault="00CF69B5" w:rsidP="00CF69B5">
      <w:pPr>
        <w:ind w:left="1260"/>
        <w:jc w:val="both"/>
        <w:rPr>
          <w:rFonts w:cs="Arial"/>
          <w:spacing w:val="0"/>
          <w:lang w:eastAsia="en-GB"/>
        </w:rPr>
      </w:pPr>
    </w:p>
    <w:p w14:paraId="77ABB0F3" w14:textId="77777777" w:rsidR="00CF69B5" w:rsidRPr="00696A5D" w:rsidRDefault="00A724BF" w:rsidP="00B279C0">
      <w:pPr>
        <w:numPr>
          <w:ilvl w:val="0"/>
          <w:numId w:val="34"/>
        </w:numPr>
        <w:tabs>
          <w:tab w:val="clear" w:pos="720"/>
          <w:tab w:val="num" w:pos="990"/>
        </w:tabs>
        <w:ind w:left="990"/>
        <w:jc w:val="both"/>
        <w:rPr>
          <w:rFonts w:cs="Arial"/>
          <w:spacing w:val="0"/>
          <w:lang w:eastAsia="en-GB"/>
        </w:rPr>
      </w:pPr>
      <w:r w:rsidRPr="00696A5D">
        <w:rPr>
          <w:rFonts w:cs="Arial"/>
          <w:spacing w:val="0"/>
          <w:lang w:eastAsia="en-GB"/>
        </w:rPr>
        <w:t>Other staff involved in treasury management activities who are members of CIPFA must also comply with the SOPP.</w:t>
      </w:r>
    </w:p>
    <w:p w14:paraId="10B05E61" w14:textId="77777777" w:rsidR="00CF69B5" w:rsidRPr="00696A5D" w:rsidRDefault="00CF69B5" w:rsidP="00CF69B5">
      <w:pPr>
        <w:jc w:val="both"/>
        <w:rPr>
          <w:rFonts w:cs="Arial"/>
          <w:spacing w:val="0"/>
          <w:lang w:eastAsia="en-GB"/>
        </w:rPr>
      </w:pPr>
    </w:p>
    <w:p w14:paraId="59216BB4" w14:textId="77777777" w:rsidR="00CF69B5" w:rsidRPr="00696A5D" w:rsidRDefault="00A724BF" w:rsidP="00CF69B5">
      <w:pPr>
        <w:ind w:right="11"/>
        <w:rPr>
          <w:rFonts w:cs="Arial"/>
          <w:b/>
          <w:spacing w:val="0"/>
          <w:lang w:eastAsia="en-GB"/>
        </w:rPr>
      </w:pPr>
      <w:r w:rsidRPr="00696A5D">
        <w:rPr>
          <w:rFonts w:cs="Arial"/>
          <w:b/>
          <w:spacing w:val="0"/>
          <w:lang w:eastAsia="en-GB"/>
        </w:rPr>
        <w:t>Members charged with governance</w:t>
      </w:r>
    </w:p>
    <w:p w14:paraId="722DC8A1" w14:textId="77777777" w:rsidR="00CF69B5" w:rsidRPr="00696A5D" w:rsidRDefault="00CF69B5" w:rsidP="00CF69B5">
      <w:pPr>
        <w:ind w:right="11"/>
        <w:rPr>
          <w:rFonts w:cs="Arial"/>
          <w:b/>
          <w:spacing w:val="0"/>
          <w:lang w:eastAsia="en-GB"/>
        </w:rPr>
      </w:pPr>
    </w:p>
    <w:p w14:paraId="6176CC6F" w14:textId="77777777" w:rsidR="00CF69B5" w:rsidRPr="00696A5D" w:rsidRDefault="00A724BF" w:rsidP="00CF69B5">
      <w:pPr>
        <w:ind w:right="11"/>
        <w:jc w:val="both"/>
        <w:rPr>
          <w:rFonts w:cs="Arial"/>
          <w:spacing w:val="0"/>
          <w:lang w:eastAsia="en-GB"/>
        </w:rPr>
      </w:pPr>
      <w:r w:rsidRPr="00696A5D">
        <w:rPr>
          <w:rFonts w:cs="Arial"/>
          <w:spacing w:val="0"/>
          <w:lang w:eastAsia="en-GB"/>
        </w:rPr>
        <w:t>Members charged with diligence also have a personal responsibility to ensure that they have the appropriate skills and training for their role.</w:t>
      </w:r>
    </w:p>
    <w:p w14:paraId="258DB995" w14:textId="77777777" w:rsidR="00CF69B5" w:rsidRPr="00696A5D" w:rsidRDefault="00CF69B5" w:rsidP="00CF69B5">
      <w:pPr>
        <w:rPr>
          <w:rFonts w:cs="Arial"/>
          <w:b/>
          <w:spacing w:val="0"/>
          <w:lang w:eastAsia="en-GB"/>
        </w:rPr>
      </w:pPr>
    </w:p>
    <w:p w14:paraId="49155B40" w14:textId="77777777" w:rsidR="00CF69B5" w:rsidRPr="00696A5D" w:rsidRDefault="00A724BF" w:rsidP="009F4CF9">
      <w:pPr>
        <w:pStyle w:val="Subheading"/>
        <w:rPr>
          <w:sz w:val="20"/>
          <w:szCs w:val="20"/>
          <w:lang w:eastAsia="en-GB"/>
        </w:rPr>
      </w:pPr>
      <w:r w:rsidRPr="00696A5D">
        <w:rPr>
          <w:sz w:val="20"/>
          <w:szCs w:val="20"/>
          <w:lang w:eastAsia="en-GB"/>
        </w:rPr>
        <w:t>TMP11 Use of external service providers</w:t>
      </w:r>
    </w:p>
    <w:p w14:paraId="535A8316" w14:textId="77777777" w:rsidR="00CF69B5" w:rsidRPr="00696A5D" w:rsidRDefault="00CF69B5" w:rsidP="00CF69B5">
      <w:pPr>
        <w:rPr>
          <w:rFonts w:cs="Arial"/>
          <w:spacing w:val="0"/>
          <w:lang w:eastAsia="en-GB"/>
        </w:rPr>
      </w:pPr>
    </w:p>
    <w:p w14:paraId="5263BEDA" w14:textId="77777777" w:rsidR="00CF69B5" w:rsidRPr="00696A5D" w:rsidRDefault="00A724BF" w:rsidP="00CF69B5">
      <w:pPr>
        <w:rPr>
          <w:rFonts w:cs="Arial"/>
          <w:spacing w:val="0"/>
          <w:lang w:eastAsia="en-GB"/>
        </w:rPr>
      </w:pPr>
      <w:r w:rsidRPr="00696A5D">
        <w:rPr>
          <w:rFonts w:cs="Arial"/>
          <w:spacing w:val="0"/>
          <w:lang w:eastAsia="en-GB"/>
        </w:rPr>
        <w:t xml:space="preserve">Epsom &amp; Ewell Borough Council recognises the potential value of employing external providers of treasury management services, in order to acquire access to specialist skills and resources. When it employs such service providers, it will ensure it does so for reasons which will have been submitted to a full evaluation of the costs and benefits. It will also ensure that the terms of their appointment and the methods by which their value will be assessed are properly agreed and </w:t>
      </w:r>
      <w:r w:rsidR="006254AD" w:rsidRPr="00696A5D">
        <w:rPr>
          <w:rFonts w:cs="Arial"/>
          <w:spacing w:val="0"/>
          <w:lang w:eastAsia="en-GB"/>
        </w:rPr>
        <w:t>documented and</w:t>
      </w:r>
      <w:r w:rsidRPr="00696A5D">
        <w:rPr>
          <w:rFonts w:cs="Arial"/>
          <w:spacing w:val="0"/>
          <w:lang w:eastAsia="en-GB"/>
        </w:rPr>
        <w:t xml:space="preserve"> subjected to regular review. And it will ensure, where feasible and necessary, that a spread of service providers is used, to avoid overreliance on one or a small number of companies. </w:t>
      </w:r>
    </w:p>
    <w:p w14:paraId="579DA58F" w14:textId="77777777" w:rsidR="00CF69B5" w:rsidRPr="00696A5D" w:rsidRDefault="00CF69B5" w:rsidP="00CF69B5">
      <w:pPr>
        <w:rPr>
          <w:rFonts w:cs="Arial"/>
          <w:spacing w:val="0"/>
          <w:lang w:eastAsia="en-GB"/>
        </w:rPr>
      </w:pPr>
    </w:p>
    <w:p w14:paraId="55E53C29" w14:textId="77777777" w:rsidR="00CF69B5" w:rsidRPr="00696A5D" w:rsidRDefault="00A724BF" w:rsidP="009F4CF9">
      <w:pPr>
        <w:pStyle w:val="Subheading"/>
        <w:rPr>
          <w:sz w:val="20"/>
          <w:szCs w:val="20"/>
          <w:lang w:eastAsia="en-GB"/>
        </w:rPr>
      </w:pPr>
      <w:r w:rsidRPr="00696A5D">
        <w:rPr>
          <w:sz w:val="20"/>
          <w:szCs w:val="20"/>
          <w:lang w:eastAsia="en-GB"/>
        </w:rPr>
        <w:t xml:space="preserve">TMP12 Corporate governance </w:t>
      </w:r>
    </w:p>
    <w:p w14:paraId="5641C93C" w14:textId="77777777" w:rsidR="00CF69B5" w:rsidRPr="00696A5D" w:rsidRDefault="00CF69B5" w:rsidP="00CF69B5">
      <w:pPr>
        <w:rPr>
          <w:rFonts w:cs="Arial"/>
          <w:spacing w:val="0"/>
          <w:lang w:eastAsia="en-GB"/>
        </w:rPr>
      </w:pPr>
    </w:p>
    <w:p w14:paraId="34D1E28E" w14:textId="77777777" w:rsidR="00CF69B5" w:rsidRPr="00696A5D" w:rsidRDefault="00A724BF" w:rsidP="00CF69B5">
      <w:pPr>
        <w:rPr>
          <w:rFonts w:cs="Arial"/>
          <w:spacing w:val="0"/>
          <w:lang w:eastAsia="en-GB"/>
        </w:rPr>
      </w:pPr>
      <w:r w:rsidRPr="00696A5D">
        <w:rPr>
          <w:rFonts w:cs="Arial"/>
          <w:spacing w:val="0"/>
          <w:lang w:eastAsia="en-GB"/>
        </w:rPr>
        <w:lastRenderedPageBreak/>
        <w:t>Epsom &amp; Ewell Borough Council is committed to the principle of openness and transparency in its treasury management function and in all of its functions.</w:t>
      </w:r>
    </w:p>
    <w:p w14:paraId="72ED40AB" w14:textId="77777777" w:rsidR="00CF69B5" w:rsidRPr="00696A5D" w:rsidRDefault="00CF69B5" w:rsidP="00CF69B5">
      <w:pPr>
        <w:ind w:right="14"/>
        <w:jc w:val="both"/>
        <w:rPr>
          <w:rFonts w:cs="Arial"/>
          <w:spacing w:val="0"/>
          <w:lang w:eastAsia="en-GB"/>
        </w:rPr>
      </w:pPr>
    </w:p>
    <w:p w14:paraId="12D6CD38" w14:textId="77777777" w:rsidR="00CF69B5" w:rsidRPr="00696A5D" w:rsidRDefault="00A724BF" w:rsidP="00CF69B5">
      <w:pPr>
        <w:rPr>
          <w:rFonts w:cs="Arial"/>
          <w:spacing w:val="0"/>
          <w:lang w:eastAsia="en-GB"/>
        </w:rPr>
      </w:pPr>
      <w:r w:rsidRPr="00696A5D">
        <w:rPr>
          <w:rFonts w:cs="Arial"/>
          <w:spacing w:val="0"/>
          <w:lang w:eastAsia="en-GB"/>
        </w:rPr>
        <w:t>It has adopted the CIPFA Code of Practice on Treasury Management and implemented key recommendations on developing Treasury Management Practices, formulating a Treasury Management Policy Statement and implementing the other principles of the Code.</w:t>
      </w:r>
    </w:p>
    <w:p w14:paraId="558BA2CD" w14:textId="77777777" w:rsidR="00CF69B5" w:rsidRPr="00696A5D" w:rsidRDefault="00CF69B5" w:rsidP="00CF69B5">
      <w:pPr>
        <w:ind w:left="720" w:right="14"/>
        <w:jc w:val="both"/>
        <w:rPr>
          <w:rFonts w:cs="Arial"/>
          <w:spacing w:val="0"/>
          <w:lang w:eastAsia="en-GB"/>
        </w:rPr>
      </w:pPr>
    </w:p>
    <w:p w14:paraId="68F17AEC" w14:textId="77777777" w:rsidR="00CF69B5" w:rsidRPr="00696A5D" w:rsidRDefault="00A724BF" w:rsidP="00CF69B5">
      <w:pPr>
        <w:rPr>
          <w:rFonts w:cs="Arial"/>
          <w:spacing w:val="0"/>
          <w:lang w:eastAsia="en-GB"/>
        </w:rPr>
      </w:pPr>
      <w:r w:rsidRPr="00696A5D">
        <w:rPr>
          <w:rFonts w:cs="Arial"/>
          <w:spacing w:val="0"/>
          <w:lang w:eastAsia="en-GB"/>
        </w:rPr>
        <w:t>The following documents are available for public inspection: -</w:t>
      </w:r>
    </w:p>
    <w:p w14:paraId="13059185" w14:textId="77777777" w:rsidR="00CF69B5" w:rsidRPr="00696A5D" w:rsidRDefault="00CF69B5" w:rsidP="00CF69B5">
      <w:pPr>
        <w:ind w:left="1418" w:right="14"/>
        <w:jc w:val="both"/>
        <w:rPr>
          <w:rFonts w:cs="Arial"/>
          <w:spacing w:val="0"/>
          <w:lang w:eastAsia="en-GB"/>
        </w:rPr>
      </w:pPr>
    </w:p>
    <w:p w14:paraId="57AC505D" w14:textId="77777777" w:rsidR="00CF69B5" w:rsidRPr="00696A5D" w:rsidRDefault="00A724BF" w:rsidP="00CF69B5">
      <w:pPr>
        <w:ind w:left="720" w:right="14"/>
        <w:jc w:val="both"/>
        <w:rPr>
          <w:rFonts w:cs="Arial"/>
          <w:spacing w:val="0"/>
          <w:lang w:eastAsia="en-GB"/>
        </w:rPr>
      </w:pPr>
      <w:r w:rsidRPr="00696A5D">
        <w:rPr>
          <w:rFonts w:cs="Arial"/>
          <w:spacing w:val="0"/>
          <w:lang w:eastAsia="en-GB"/>
        </w:rPr>
        <w:t>Treasury Management Strategy</w:t>
      </w:r>
    </w:p>
    <w:p w14:paraId="0893F0B5" w14:textId="77777777" w:rsidR="00CF69B5" w:rsidRPr="00696A5D" w:rsidRDefault="00CF69B5" w:rsidP="00CF69B5">
      <w:pPr>
        <w:ind w:left="1418" w:right="14"/>
        <w:jc w:val="both"/>
        <w:rPr>
          <w:rFonts w:cs="Arial"/>
          <w:spacing w:val="0"/>
          <w:lang w:eastAsia="en-GB"/>
        </w:rPr>
      </w:pPr>
    </w:p>
    <w:p w14:paraId="2E85F8F7" w14:textId="77777777" w:rsidR="00CF69B5" w:rsidRPr="00696A5D" w:rsidRDefault="00A724BF" w:rsidP="00CF69B5">
      <w:pPr>
        <w:ind w:left="720" w:right="14"/>
        <w:jc w:val="both"/>
        <w:rPr>
          <w:rFonts w:cs="Arial"/>
          <w:spacing w:val="0"/>
          <w:lang w:eastAsia="en-GB"/>
        </w:rPr>
      </w:pPr>
      <w:r w:rsidRPr="00696A5D">
        <w:rPr>
          <w:rFonts w:cs="Arial"/>
          <w:spacing w:val="0"/>
          <w:lang w:eastAsia="en-GB"/>
        </w:rPr>
        <w:t xml:space="preserve">Annual Investment Strategy </w:t>
      </w:r>
    </w:p>
    <w:p w14:paraId="64ACF1D2" w14:textId="77777777" w:rsidR="00CF69B5" w:rsidRPr="00696A5D" w:rsidRDefault="00CF69B5" w:rsidP="00CF69B5">
      <w:pPr>
        <w:ind w:left="1418" w:right="14"/>
        <w:jc w:val="both"/>
        <w:rPr>
          <w:rFonts w:cs="Arial"/>
          <w:spacing w:val="0"/>
          <w:lang w:eastAsia="en-GB"/>
        </w:rPr>
      </w:pPr>
    </w:p>
    <w:p w14:paraId="59C5FA2D" w14:textId="77777777" w:rsidR="00CF69B5" w:rsidRPr="00696A5D" w:rsidRDefault="00A724BF" w:rsidP="00CF69B5">
      <w:pPr>
        <w:ind w:left="720" w:right="14"/>
        <w:jc w:val="both"/>
        <w:rPr>
          <w:rFonts w:cs="Arial"/>
          <w:spacing w:val="0"/>
          <w:lang w:eastAsia="en-GB"/>
        </w:rPr>
      </w:pPr>
      <w:r w:rsidRPr="00696A5D">
        <w:rPr>
          <w:rFonts w:cs="Arial"/>
          <w:spacing w:val="0"/>
          <w:lang w:eastAsia="en-GB"/>
        </w:rPr>
        <w:t xml:space="preserve">Minimum Revenue provision policy statement </w:t>
      </w:r>
    </w:p>
    <w:p w14:paraId="1B1B77FA" w14:textId="77777777" w:rsidR="00CF69B5" w:rsidRPr="00696A5D" w:rsidRDefault="00CF69B5" w:rsidP="00CF69B5">
      <w:pPr>
        <w:ind w:left="1418" w:right="14"/>
        <w:jc w:val="both"/>
        <w:rPr>
          <w:rFonts w:cs="Arial"/>
          <w:spacing w:val="0"/>
          <w:lang w:eastAsia="en-GB"/>
        </w:rPr>
      </w:pPr>
    </w:p>
    <w:p w14:paraId="07D66D51" w14:textId="77777777" w:rsidR="00CF69B5" w:rsidRPr="00696A5D" w:rsidRDefault="00A724BF" w:rsidP="00CF69B5">
      <w:pPr>
        <w:ind w:left="720" w:right="14"/>
        <w:jc w:val="both"/>
        <w:rPr>
          <w:rFonts w:cs="Arial"/>
          <w:spacing w:val="0"/>
          <w:lang w:eastAsia="en-GB"/>
        </w:rPr>
      </w:pPr>
      <w:r w:rsidRPr="00696A5D">
        <w:rPr>
          <w:rFonts w:cs="Arial"/>
          <w:spacing w:val="0"/>
          <w:lang w:eastAsia="en-GB"/>
        </w:rPr>
        <w:t>Annual Treasury Review Report</w:t>
      </w:r>
    </w:p>
    <w:p w14:paraId="482C7871" w14:textId="77777777" w:rsidR="00CF69B5" w:rsidRPr="00696A5D" w:rsidRDefault="00CF69B5" w:rsidP="00CF69B5">
      <w:pPr>
        <w:ind w:left="1418" w:right="14"/>
        <w:jc w:val="both"/>
        <w:rPr>
          <w:rFonts w:cs="Arial"/>
          <w:spacing w:val="0"/>
          <w:lang w:eastAsia="en-GB"/>
        </w:rPr>
      </w:pPr>
    </w:p>
    <w:p w14:paraId="6D1573D8" w14:textId="77777777" w:rsidR="00CF69B5" w:rsidRPr="00696A5D" w:rsidRDefault="00A724BF" w:rsidP="00CF69B5">
      <w:pPr>
        <w:ind w:left="720" w:right="14"/>
        <w:jc w:val="both"/>
        <w:rPr>
          <w:rFonts w:cs="Arial"/>
          <w:spacing w:val="0"/>
          <w:lang w:eastAsia="en-GB"/>
        </w:rPr>
      </w:pPr>
      <w:r w:rsidRPr="00696A5D">
        <w:rPr>
          <w:rFonts w:cs="Arial"/>
          <w:spacing w:val="0"/>
          <w:lang w:eastAsia="en-GB"/>
        </w:rPr>
        <w:t>Treasury Management monitoring reports (</w:t>
      </w:r>
      <w:proofErr w:type="gramStart"/>
      <w:r w:rsidRPr="00696A5D">
        <w:rPr>
          <w:rFonts w:cs="Arial"/>
          <w:spacing w:val="0"/>
          <w:lang w:eastAsia="en-GB"/>
        </w:rPr>
        <w:t>e.g.</w:t>
      </w:r>
      <w:proofErr w:type="gramEnd"/>
      <w:r w:rsidRPr="00696A5D">
        <w:rPr>
          <w:rFonts w:cs="Arial"/>
          <w:spacing w:val="0"/>
          <w:lang w:eastAsia="en-GB"/>
        </w:rPr>
        <w:t xml:space="preserve"> half yearly)</w:t>
      </w:r>
    </w:p>
    <w:p w14:paraId="6B0A1BC7" w14:textId="77777777" w:rsidR="00CF69B5" w:rsidRPr="00696A5D" w:rsidRDefault="00CF69B5" w:rsidP="00CF69B5">
      <w:pPr>
        <w:ind w:left="1418" w:right="14"/>
        <w:jc w:val="both"/>
        <w:rPr>
          <w:rFonts w:cs="Arial"/>
          <w:spacing w:val="0"/>
          <w:lang w:eastAsia="en-GB"/>
        </w:rPr>
      </w:pPr>
    </w:p>
    <w:p w14:paraId="7DD89A4C" w14:textId="77777777" w:rsidR="00CF69B5" w:rsidRPr="00696A5D" w:rsidRDefault="00A724BF" w:rsidP="00CF69B5">
      <w:pPr>
        <w:ind w:left="720" w:right="14"/>
        <w:jc w:val="both"/>
        <w:rPr>
          <w:rFonts w:cs="Arial"/>
          <w:spacing w:val="0"/>
          <w:lang w:eastAsia="en-GB"/>
        </w:rPr>
      </w:pPr>
      <w:r w:rsidRPr="00696A5D">
        <w:rPr>
          <w:rFonts w:cs="Arial"/>
          <w:spacing w:val="0"/>
          <w:lang w:eastAsia="en-GB"/>
        </w:rPr>
        <w:t>Annual accounts and financial instruments disclosure notes</w:t>
      </w:r>
    </w:p>
    <w:p w14:paraId="79A4634C" w14:textId="77777777" w:rsidR="00CF69B5" w:rsidRPr="00696A5D" w:rsidRDefault="00CF69B5" w:rsidP="00CF69B5">
      <w:pPr>
        <w:ind w:left="1418" w:right="14"/>
        <w:jc w:val="both"/>
        <w:rPr>
          <w:rFonts w:cs="Arial"/>
          <w:spacing w:val="0"/>
          <w:lang w:eastAsia="en-GB"/>
        </w:rPr>
      </w:pPr>
    </w:p>
    <w:p w14:paraId="32824708" w14:textId="77777777" w:rsidR="00CF69B5" w:rsidRPr="00696A5D" w:rsidRDefault="00A724BF" w:rsidP="00CF69B5">
      <w:pPr>
        <w:ind w:left="720" w:right="14"/>
        <w:jc w:val="both"/>
        <w:rPr>
          <w:rFonts w:cs="Arial"/>
          <w:spacing w:val="0"/>
          <w:lang w:eastAsia="en-GB"/>
        </w:rPr>
      </w:pPr>
      <w:r w:rsidRPr="00696A5D">
        <w:rPr>
          <w:rFonts w:cs="Arial"/>
          <w:spacing w:val="0"/>
          <w:lang w:eastAsia="en-GB"/>
        </w:rPr>
        <w:t>Annual budget</w:t>
      </w:r>
    </w:p>
    <w:p w14:paraId="4AEBD173" w14:textId="77777777" w:rsidR="00CF69B5" w:rsidRPr="00696A5D" w:rsidRDefault="00CF69B5" w:rsidP="00CF69B5">
      <w:pPr>
        <w:ind w:left="1418" w:right="14"/>
        <w:jc w:val="both"/>
        <w:rPr>
          <w:rFonts w:cs="Arial"/>
          <w:spacing w:val="0"/>
          <w:lang w:eastAsia="en-GB"/>
        </w:rPr>
      </w:pPr>
    </w:p>
    <w:p w14:paraId="53CF16EC" w14:textId="77777777" w:rsidR="00CF69B5" w:rsidRPr="00696A5D" w:rsidRDefault="00A724BF" w:rsidP="00CF69B5">
      <w:pPr>
        <w:ind w:left="720" w:right="14"/>
        <w:jc w:val="both"/>
        <w:rPr>
          <w:rFonts w:cs="Arial"/>
          <w:spacing w:val="0"/>
          <w:lang w:eastAsia="en-GB"/>
        </w:rPr>
      </w:pPr>
      <w:r w:rsidRPr="00696A5D">
        <w:rPr>
          <w:rFonts w:cs="Arial"/>
          <w:spacing w:val="0"/>
          <w:lang w:eastAsia="en-GB"/>
        </w:rPr>
        <w:t xml:space="preserve">Capital </w:t>
      </w:r>
      <w:r w:rsidR="00BA6695" w:rsidRPr="00696A5D">
        <w:rPr>
          <w:rFonts w:cs="Arial"/>
          <w:spacing w:val="0"/>
          <w:lang w:eastAsia="en-GB"/>
        </w:rPr>
        <w:t>Strategy</w:t>
      </w:r>
    </w:p>
    <w:p w14:paraId="4AAF3606" w14:textId="77777777" w:rsidR="00CF69B5" w:rsidRPr="00696A5D" w:rsidRDefault="00A724BF" w:rsidP="00CF69B5">
      <w:pPr>
        <w:ind w:left="1418" w:right="14"/>
        <w:jc w:val="both"/>
        <w:rPr>
          <w:rFonts w:cs="Arial"/>
          <w:spacing w:val="0"/>
          <w:lang w:eastAsia="en-GB"/>
        </w:rPr>
      </w:pPr>
      <w:r w:rsidRPr="00696A5D">
        <w:rPr>
          <w:rFonts w:cs="Arial"/>
          <w:spacing w:val="0"/>
          <w:lang w:eastAsia="en-GB"/>
        </w:rPr>
        <w:t xml:space="preserve">         </w:t>
      </w:r>
    </w:p>
    <w:p w14:paraId="3EB8594C" w14:textId="77777777" w:rsidR="00CF69B5" w:rsidRPr="00416DEC" w:rsidRDefault="00A724BF" w:rsidP="00CF69B5">
      <w:pPr>
        <w:ind w:left="720" w:right="14"/>
        <w:jc w:val="both"/>
        <w:rPr>
          <w:rFonts w:cs="Arial"/>
          <w:spacing w:val="0"/>
          <w:sz w:val="22"/>
          <w:szCs w:val="24"/>
          <w:lang w:eastAsia="en-GB"/>
        </w:rPr>
      </w:pPr>
      <w:r w:rsidRPr="00696A5D">
        <w:rPr>
          <w:rFonts w:cs="Arial"/>
          <w:spacing w:val="0"/>
          <w:lang w:eastAsia="en-GB"/>
        </w:rPr>
        <w:t>Minutes of Council / committee meetings</w:t>
      </w:r>
    </w:p>
    <w:p w14:paraId="41469FA3" w14:textId="77777777" w:rsidR="00CF69B5" w:rsidRPr="00416DEC" w:rsidRDefault="00CF69B5" w:rsidP="00CF69B5">
      <w:pPr>
        <w:jc w:val="both"/>
        <w:rPr>
          <w:rFonts w:cs="Arial"/>
          <w:sz w:val="22"/>
          <w:szCs w:val="22"/>
        </w:rPr>
      </w:pPr>
    </w:p>
    <w:p w14:paraId="4D6700B0" w14:textId="77777777" w:rsidR="00CF69B5" w:rsidRPr="00416DEC" w:rsidRDefault="00CF69B5" w:rsidP="00CF69B5">
      <w:pPr>
        <w:jc w:val="both"/>
        <w:rPr>
          <w:rFonts w:cs="Arial"/>
          <w:sz w:val="22"/>
          <w:szCs w:val="22"/>
        </w:rPr>
      </w:pPr>
    </w:p>
    <w:p w14:paraId="03923CED" w14:textId="77777777" w:rsidR="00CF69B5" w:rsidRPr="00416DEC" w:rsidRDefault="00A724BF" w:rsidP="00173FB7">
      <w:pPr>
        <w:rPr>
          <w:rFonts w:cs="Arial"/>
          <w:b/>
          <w:spacing w:val="0"/>
          <w:sz w:val="22"/>
          <w:szCs w:val="22"/>
          <w:lang w:eastAsia="en-GB"/>
        </w:rPr>
      </w:pPr>
      <w:r w:rsidRPr="00416DEC">
        <w:rPr>
          <w:rFonts w:cs="Arial"/>
          <w:lang w:eastAsia="en-GB"/>
        </w:rPr>
        <w:br w:type="page"/>
      </w:r>
    </w:p>
    <w:p w14:paraId="1C381389" w14:textId="77777777" w:rsidR="00EB796A" w:rsidRPr="00416DEC" w:rsidRDefault="00A724BF" w:rsidP="009F4CF9">
      <w:pPr>
        <w:pStyle w:val="ChapterHeading"/>
        <w:rPr>
          <w:rFonts w:ascii="Arial" w:hAnsi="Arial"/>
        </w:rPr>
      </w:pPr>
      <w:r w:rsidRPr="00416DEC">
        <w:rPr>
          <w:rFonts w:ascii="Arial" w:hAnsi="Arial"/>
        </w:rPr>
        <w:lastRenderedPageBreak/>
        <w:t>Approved Countries for Investments</w:t>
      </w:r>
    </w:p>
    <w:p w14:paraId="2E523487" w14:textId="77777777" w:rsidR="00EB796A" w:rsidRPr="00696A5D" w:rsidRDefault="00A724BF" w:rsidP="00B73A6F">
      <w:pPr>
        <w:tabs>
          <w:tab w:val="left" w:pos="1080"/>
          <w:tab w:val="left" w:pos="1260"/>
        </w:tabs>
        <w:ind w:left="284"/>
        <w:jc w:val="both"/>
        <w:rPr>
          <w:rFonts w:cs="Arial"/>
        </w:rPr>
      </w:pPr>
      <w:r w:rsidRPr="00696A5D">
        <w:rPr>
          <w:rFonts w:cs="Arial"/>
        </w:rPr>
        <w:t xml:space="preserve">This list is based on those countries which have sovereign ratings of AA- or higher at </w:t>
      </w:r>
      <w:r w:rsidR="00BA6695" w:rsidRPr="00696A5D">
        <w:rPr>
          <w:rFonts w:cs="Arial"/>
        </w:rPr>
        <w:t>02</w:t>
      </w:r>
      <w:r w:rsidRPr="00696A5D">
        <w:rPr>
          <w:rFonts w:cs="Arial"/>
        </w:rPr>
        <w:t>/1</w:t>
      </w:r>
      <w:r w:rsidR="006254AD" w:rsidRPr="00696A5D">
        <w:rPr>
          <w:rFonts w:cs="Arial"/>
        </w:rPr>
        <w:t>2</w:t>
      </w:r>
      <w:r w:rsidRPr="00696A5D">
        <w:rPr>
          <w:rFonts w:cs="Arial"/>
        </w:rPr>
        <w:t>/202</w:t>
      </w:r>
      <w:r w:rsidR="00BA6695" w:rsidRPr="00696A5D">
        <w:rPr>
          <w:rFonts w:cs="Arial"/>
        </w:rPr>
        <w:t>2</w:t>
      </w:r>
      <w:r w:rsidRPr="00696A5D">
        <w:rPr>
          <w:rFonts w:cs="Arial"/>
        </w:rPr>
        <w:t xml:space="preserve">, (we show the lowest rating from Fitch, </w:t>
      </w:r>
      <w:proofErr w:type="gramStart"/>
      <w:r w:rsidRPr="00696A5D">
        <w:rPr>
          <w:rFonts w:cs="Arial"/>
        </w:rPr>
        <w:t>Moody’s</w:t>
      </w:r>
      <w:proofErr w:type="gramEnd"/>
      <w:r w:rsidRPr="00696A5D">
        <w:rPr>
          <w:rFonts w:cs="Arial"/>
        </w:rPr>
        <w:t xml:space="preserve"> and S&amp;P) and also, (except - at the time of writing - for Hong Kong, Norway and Luxembourg), have banks operating in sterling markets which have credit ratings of green or above in the Link credit worthiness service.</w:t>
      </w:r>
    </w:p>
    <w:p w14:paraId="22B5FD01" w14:textId="77777777" w:rsidR="00EB796A" w:rsidRPr="00696A5D" w:rsidRDefault="00EB796A" w:rsidP="00D71F72">
      <w:pPr>
        <w:tabs>
          <w:tab w:val="left" w:pos="1080"/>
          <w:tab w:val="left" w:pos="1260"/>
        </w:tabs>
        <w:ind w:left="720" w:hanging="360"/>
        <w:jc w:val="both"/>
        <w:rPr>
          <w:rFonts w:cs="Arial"/>
          <w:i/>
          <w:color w:val="005B82"/>
        </w:rPr>
      </w:pPr>
    </w:p>
    <w:p w14:paraId="3AB7E0A9" w14:textId="77777777" w:rsidR="008B6E73" w:rsidRPr="00696A5D" w:rsidRDefault="00A724BF" w:rsidP="008B6E73">
      <w:pPr>
        <w:ind w:firstLine="284"/>
        <w:jc w:val="both"/>
        <w:rPr>
          <w:rFonts w:eastAsia="Arial" w:cs="Arial"/>
          <w:b/>
          <w:i/>
          <w:color w:val="0D0D0D"/>
          <w:spacing w:val="0"/>
          <w:lang w:val="en-AU"/>
        </w:rPr>
      </w:pPr>
      <w:r w:rsidRPr="00696A5D">
        <w:rPr>
          <w:rFonts w:eastAsia="Arial" w:cs="Arial"/>
          <w:b/>
          <w:i/>
          <w:color w:val="0D0D0D"/>
          <w:spacing w:val="0"/>
          <w:lang w:val="en-AU"/>
        </w:rPr>
        <w:t>Based on lowest available rating</w:t>
      </w:r>
    </w:p>
    <w:p w14:paraId="3B32904E" w14:textId="77777777" w:rsidR="008B6E73" w:rsidRPr="00696A5D" w:rsidRDefault="008B6E73" w:rsidP="008B6E73">
      <w:pPr>
        <w:jc w:val="both"/>
        <w:rPr>
          <w:rFonts w:eastAsia="Arial" w:cs="Arial"/>
          <w:b/>
          <w:i/>
          <w:color w:val="0D0D0D"/>
          <w:spacing w:val="0"/>
          <w:lang w:val="en-AU"/>
        </w:rPr>
      </w:pPr>
    </w:p>
    <w:p w14:paraId="1DD6E32B" w14:textId="77777777" w:rsidR="00BA6695" w:rsidRPr="00696A5D" w:rsidRDefault="00A724BF" w:rsidP="00BA6695">
      <w:pPr>
        <w:tabs>
          <w:tab w:val="left" w:pos="1080"/>
          <w:tab w:val="left" w:pos="1260"/>
        </w:tabs>
        <w:spacing w:before="40" w:after="40"/>
        <w:jc w:val="both"/>
        <w:rPr>
          <w:rFonts w:cs="Arial"/>
          <w:b/>
          <w:bCs/>
          <w:color w:val="0D0D0D"/>
        </w:rPr>
      </w:pPr>
      <w:r w:rsidRPr="00696A5D">
        <w:rPr>
          <w:rFonts w:cs="Arial"/>
          <w:b/>
          <w:bCs/>
          <w:color w:val="0D0D0D"/>
        </w:rPr>
        <w:t xml:space="preserve">AAA                     </w:t>
      </w:r>
    </w:p>
    <w:p w14:paraId="57D5B280" w14:textId="77777777" w:rsidR="00BA6695" w:rsidRPr="00696A5D" w:rsidRDefault="00A724BF" w:rsidP="00BA6695">
      <w:pPr>
        <w:numPr>
          <w:ilvl w:val="0"/>
          <w:numId w:val="58"/>
        </w:numPr>
        <w:tabs>
          <w:tab w:val="left" w:pos="1080"/>
          <w:tab w:val="left" w:pos="1260"/>
        </w:tabs>
        <w:spacing w:before="40" w:after="40" w:line="280" w:lineRule="exact"/>
        <w:jc w:val="both"/>
        <w:rPr>
          <w:rFonts w:cs="Arial"/>
          <w:color w:val="0D0D0D"/>
        </w:rPr>
      </w:pPr>
      <w:r w:rsidRPr="00696A5D">
        <w:rPr>
          <w:rFonts w:cs="Arial"/>
          <w:color w:val="0D0D0D"/>
        </w:rPr>
        <w:t>Australia</w:t>
      </w:r>
    </w:p>
    <w:p w14:paraId="3C2DB616" w14:textId="77777777" w:rsidR="00BA6695" w:rsidRPr="00696A5D" w:rsidRDefault="00A724BF" w:rsidP="00BA6695">
      <w:pPr>
        <w:numPr>
          <w:ilvl w:val="0"/>
          <w:numId w:val="58"/>
        </w:numPr>
        <w:tabs>
          <w:tab w:val="left" w:pos="1080"/>
          <w:tab w:val="left" w:pos="1260"/>
        </w:tabs>
        <w:spacing w:before="40" w:after="40" w:line="280" w:lineRule="exact"/>
        <w:jc w:val="both"/>
        <w:rPr>
          <w:rFonts w:cs="Arial"/>
          <w:color w:val="0D0D0D"/>
        </w:rPr>
      </w:pPr>
      <w:r w:rsidRPr="00696A5D">
        <w:rPr>
          <w:rFonts w:cs="Arial"/>
          <w:color w:val="0D0D0D"/>
        </w:rPr>
        <w:t>Denmark</w:t>
      </w:r>
    </w:p>
    <w:p w14:paraId="40AF3ED0" w14:textId="77777777" w:rsidR="00BA6695" w:rsidRPr="00696A5D" w:rsidRDefault="00A724BF" w:rsidP="00BA6695">
      <w:pPr>
        <w:numPr>
          <w:ilvl w:val="0"/>
          <w:numId w:val="58"/>
        </w:numPr>
        <w:tabs>
          <w:tab w:val="left" w:pos="1080"/>
          <w:tab w:val="left" w:pos="1260"/>
        </w:tabs>
        <w:spacing w:before="40" w:after="40" w:line="280" w:lineRule="exact"/>
        <w:jc w:val="both"/>
        <w:rPr>
          <w:rFonts w:cs="Arial"/>
          <w:color w:val="0D0D0D"/>
        </w:rPr>
      </w:pPr>
      <w:r w:rsidRPr="00696A5D">
        <w:rPr>
          <w:rFonts w:cs="Arial"/>
          <w:color w:val="0D0D0D"/>
        </w:rPr>
        <w:t>Germany</w:t>
      </w:r>
    </w:p>
    <w:p w14:paraId="1E097CB8" w14:textId="77777777" w:rsidR="00BA6695" w:rsidRPr="00696A5D" w:rsidRDefault="00A724BF" w:rsidP="00BA6695">
      <w:pPr>
        <w:numPr>
          <w:ilvl w:val="0"/>
          <w:numId w:val="58"/>
        </w:numPr>
        <w:tabs>
          <w:tab w:val="left" w:pos="1080"/>
          <w:tab w:val="left" w:pos="1260"/>
        </w:tabs>
        <w:spacing w:before="40" w:after="40" w:line="280" w:lineRule="exact"/>
        <w:jc w:val="both"/>
        <w:rPr>
          <w:rFonts w:cs="Arial"/>
          <w:color w:val="0D0D0D"/>
        </w:rPr>
      </w:pPr>
      <w:r w:rsidRPr="00696A5D">
        <w:rPr>
          <w:rFonts w:cs="Arial"/>
          <w:color w:val="0D0D0D"/>
        </w:rPr>
        <w:t xml:space="preserve">Netherlands </w:t>
      </w:r>
    </w:p>
    <w:p w14:paraId="6D02596F" w14:textId="77777777" w:rsidR="00BA6695" w:rsidRPr="00696A5D" w:rsidRDefault="00A724BF" w:rsidP="00BA6695">
      <w:pPr>
        <w:numPr>
          <w:ilvl w:val="0"/>
          <w:numId w:val="58"/>
        </w:numPr>
        <w:tabs>
          <w:tab w:val="left" w:pos="1080"/>
          <w:tab w:val="left" w:pos="1260"/>
        </w:tabs>
        <w:spacing w:before="40" w:after="40" w:line="280" w:lineRule="exact"/>
        <w:jc w:val="both"/>
        <w:rPr>
          <w:rFonts w:cs="Arial"/>
          <w:color w:val="0D0D0D"/>
        </w:rPr>
      </w:pPr>
      <w:r w:rsidRPr="00696A5D">
        <w:rPr>
          <w:rFonts w:cs="Arial"/>
          <w:color w:val="0D0D0D"/>
        </w:rPr>
        <w:t>Norway</w:t>
      </w:r>
    </w:p>
    <w:p w14:paraId="0E2DF92E" w14:textId="77777777" w:rsidR="00BA6695" w:rsidRPr="00696A5D" w:rsidRDefault="00A724BF" w:rsidP="00BA6695">
      <w:pPr>
        <w:numPr>
          <w:ilvl w:val="0"/>
          <w:numId w:val="58"/>
        </w:numPr>
        <w:tabs>
          <w:tab w:val="left" w:pos="1080"/>
          <w:tab w:val="left" w:pos="1260"/>
        </w:tabs>
        <w:spacing w:before="40" w:after="40" w:line="280" w:lineRule="exact"/>
        <w:jc w:val="both"/>
        <w:rPr>
          <w:rFonts w:cs="Arial"/>
          <w:color w:val="0D0D0D"/>
        </w:rPr>
      </w:pPr>
      <w:r w:rsidRPr="00696A5D">
        <w:rPr>
          <w:rFonts w:cs="Arial"/>
          <w:color w:val="0D0D0D"/>
        </w:rPr>
        <w:t>Singapore</w:t>
      </w:r>
    </w:p>
    <w:p w14:paraId="14BD04F3" w14:textId="77777777" w:rsidR="00BA6695" w:rsidRPr="00696A5D" w:rsidRDefault="00A724BF" w:rsidP="00BA6695">
      <w:pPr>
        <w:numPr>
          <w:ilvl w:val="0"/>
          <w:numId w:val="58"/>
        </w:numPr>
        <w:tabs>
          <w:tab w:val="left" w:pos="1080"/>
          <w:tab w:val="left" w:pos="1260"/>
        </w:tabs>
        <w:spacing w:before="40" w:after="40" w:line="280" w:lineRule="exact"/>
        <w:jc w:val="both"/>
        <w:rPr>
          <w:rFonts w:cs="Arial"/>
          <w:color w:val="0D0D0D"/>
        </w:rPr>
      </w:pPr>
      <w:r w:rsidRPr="00696A5D">
        <w:rPr>
          <w:rFonts w:cs="Arial"/>
          <w:color w:val="0D0D0D"/>
        </w:rPr>
        <w:t>Sweden</w:t>
      </w:r>
    </w:p>
    <w:p w14:paraId="32738A56" w14:textId="77777777" w:rsidR="00BA6695" w:rsidRPr="00696A5D" w:rsidRDefault="00A724BF" w:rsidP="00BA6695">
      <w:pPr>
        <w:numPr>
          <w:ilvl w:val="0"/>
          <w:numId w:val="58"/>
        </w:numPr>
        <w:tabs>
          <w:tab w:val="left" w:pos="1080"/>
          <w:tab w:val="left" w:pos="1260"/>
        </w:tabs>
        <w:spacing w:before="40" w:after="40" w:line="280" w:lineRule="exact"/>
        <w:jc w:val="both"/>
        <w:rPr>
          <w:rFonts w:cs="Arial"/>
          <w:color w:val="0D0D0D"/>
        </w:rPr>
      </w:pPr>
      <w:r w:rsidRPr="00696A5D">
        <w:rPr>
          <w:rFonts w:cs="Arial"/>
          <w:color w:val="0D0D0D"/>
        </w:rPr>
        <w:t>Switzerland</w:t>
      </w:r>
    </w:p>
    <w:p w14:paraId="158ED797" w14:textId="77777777" w:rsidR="00BA6695" w:rsidRPr="00696A5D" w:rsidRDefault="00BA6695" w:rsidP="00BA6695">
      <w:pPr>
        <w:tabs>
          <w:tab w:val="left" w:pos="1080"/>
          <w:tab w:val="left" w:pos="1260"/>
        </w:tabs>
        <w:spacing w:before="40" w:after="40"/>
        <w:ind w:left="1441" w:hanging="357"/>
        <w:jc w:val="both"/>
        <w:rPr>
          <w:rFonts w:cs="Arial"/>
          <w:color w:val="0D0D0D"/>
          <w:highlight w:val="yellow"/>
        </w:rPr>
      </w:pPr>
    </w:p>
    <w:p w14:paraId="23F1873C" w14:textId="77777777" w:rsidR="00BA6695" w:rsidRPr="00696A5D" w:rsidRDefault="00A724BF" w:rsidP="00BA6695">
      <w:pPr>
        <w:tabs>
          <w:tab w:val="left" w:pos="1080"/>
          <w:tab w:val="left" w:pos="1260"/>
        </w:tabs>
        <w:spacing w:before="40" w:after="40"/>
        <w:jc w:val="both"/>
        <w:rPr>
          <w:rFonts w:cs="Arial"/>
          <w:b/>
          <w:bCs/>
          <w:color w:val="0D0D0D"/>
        </w:rPr>
      </w:pPr>
      <w:r w:rsidRPr="00696A5D">
        <w:rPr>
          <w:rFonts w:cs="Arial"/>
          <w:b/>
          <w:bCs/>
          <w:color w:val="0D0D0D"/>
        </w:rPr>
        <w:t>AA+</w:t>
      </w:r>
    </w:p>
    <w:p w14:paraId="03DDD84D" w14:textId="77777777" w:rsidR="00BA6695" w:rsidRPr="00696A5D" w:rsidRDefault="00A724BF" w:rsidP="00BA6695">
      <w:pPr>
        <w:numPr>
          <w:ilvl w:val="0"/>
          <w:numId w:val="58"/>
        </w:numPr>
        <w:tabs>
          <w:tab w:val="left" w:pos="1080"/>
          <w:tab w:val="left" w:pos="1260"/>
        </w:tabs>
        <w:spacing w:before="40" w:after="40" w:line="280" w:lineRule="exact"/>
        <w:jc w:val="both"/>
        <w:rPr>
          <w:rFonts w:cs="Arial"/>
          <w:color w:val="0D0D0D"/>
        </w:rPr>
      </w:pPr>
      <w:r w:rsidRPr="00696A5D">
        <w:rPr>
          <w:rFonts w:cs="Arial"/>
          <w:color w:val="0D0D0D"/>
        </w:rPr>
        <w:t xml:space="preserve">Canada   </w:t>
      </w:r>
    </w:p>
    <w:p w14:paraId="70BFAABB" w14:textId="77777777" w:rsidR="00BA6695" w:rsidRPr="00696A5D" w:rsidRDefault="00A724BF" w:rsidP="00BA6695">
      <w:pPr>
        <w:numPr>
          <w:ilvl w:val="0"/>
          <w:numId w:val="58"/>
        </w:numPr>
        <w:tabs>
          <w:tab w:val="left" w:pos="1080"/>
          <w:tab w:val="left" w:pos="1260"/>
        </w:tabs>
        <w:spacing w:before="40" w:after="40" w:line="280" w:lineRule="exact"/>
        <w:jc w:val="both"/>
        <w:rPr>
          <w:rFonts w:cs="Arial"/>
          <w:color w:val="0D0D0D"/>
        </w:rPr>
      </w:pPr>
      <w:r w:rsidRPr="00696A5D">
        <w:rPr>
          <w:rFonts w:cs="Arial"/>
          <w:color w:val="0D0D0D"/>
        </w:rPr>
        <w:t>Finland</w:t>
      </w:r>
    </w:p>
    <w:p w14:paraId="0405C0F2" w14:textId="77777777" w:rsidR="00BA6695" w:rsidRPr="00696A5D" w:rsidRDefault="00A724BF" w:rsidP="00BA6695">
      <w:pPr>
        <w:numPr>
          <w:ilvl w:val="0"/>
          <w:numId w:val="58"/>
        </w:numPr>
        <w:tabs>
          <w:tab w:val="left" w:pos="1080"/>
          <w:tab w:val="left" w:pos="1260"/>
        </w:tabs>
        <w:spacing w:before="40" w:after="40" w:line="280" w:lineRule="exact"/>
        <w:jc w:val="both"/>
        <w:rPr>
          <w:rFonts w:cs="Arial"/>
          <w:color w:val="0D0D0D"/>
        </w:rPr>
      </w:pPr>
      <w:r w:rsidRPr="00696A5D">
        <w:rPr>
          <w:rFonts w:cs="Arial"/>
          <w:color w:val="0D0D0D"/>
        </w:rPr>
        <w:t>U.S.A.</w:t>
      </w:r>
    </w:p>
    <w:p w14:paraId="6BC7C4E0" w14:textId="77777777" w:rsidR="00BA6695" w:rsidRPr="00696A5D" w:rsidRDefault="00BA6695" w:rsidP="00BA6695">
      <w:pPr>
        <w:tabs>
          <w:tab w:val="left" w:pos="1080"/>
          <w:tab w:val="left" w:pos="1260"/>
        </w:tabs>
        <w:spacing w:before="40" w:after="40"/>
        <w:ind w:left="1441" w:hanging="357"/>
        <w:jc w:val="both"/>
        <w:rPr>
          <w:rFonts w:cs="Arial"/>
          <w:color w:val="0D0D0D"/>
          <w:highlight w:val="yellow"/>
        </w:rPr>
      </w:pPr>
    </w:p>
    <w:p w14:paraId="69D8B1B8" w14:textId="77777777" w:rsidR="00BA6695" w:rsidRPr="00696A5D" w:rsidRDefault="00A724BF" w:rsidP="00BA6695">
      <w:pPr>
        <w:tabs>
          <w:tab w:val="left" w:pos="1080"/>
          <w:tab w:val="left" w:pos="1260"/>
        </w:tabs>
        <w:spacing w:before="40" w:after="40"/>
        <w:jc w:val="both"/>
        <w:rPr>
          <w:rFonts w:cs="Arial"/>
          <w:b/>
          <w:bCs/>
          <w:color w:val="0D0D0D"/>
        </w:rPr>
      </w:pPr>
      <w:r w:rsidRPr="00696A5D">
        <w:rPr>
          <w:rFonts w:cs="Arial"/>
          <w:b/>
          <w:bCs/>
          <w:color w:val="0D0D0D"/>
        </w:rPr>
        <w:t>AA</w:t>
      </w:r>
    </w:p>
    <w:p w14:paraId="217414CB" w14:textId="77777777" w:rsidR="00BA6695" w:rsidRPr="00696A5D" w:rsidRDefault="00A724BF" w:rsidP="00BA6695">
      <w:pPr>
        <w:numPr>
          <w:ilvl w:val="0"/>
          <w:numId w:val="58"/>
        </w:numPr>
        <w:tabs>
          <w:tab w:val="left" w:pos="1080"/>
          <w:tab w:val="left" w:pos="1260"/>
        </w:tabs>
        <w:spacing w:before="40" w:after="40" w:line="280" w:lineRule="exact"/>
        <w:jc w:val="both"/>
        <w:rPr>
          <w:rFonts w:cs="Arial"/>
          <w:color w:val="0D0D0D"/>
        </w:rPr>
      </w:pPr>
      <w:r w:rsidRPr="00696A5D">
        <w:rPr>
          <w:rFonts w:cs="Arial"/>
          <w:color w:val="0D0D0D"/>
        </w:rPr>
        <w:t>France</w:t>
      </w:r>
    </w:p>
    <w:p w14:paraId="7D4E8589" w14:textId="77777777" w:rsidR="00BA6695" w:rsidRPr="00696A5D" w:rsidRDefault="00BA6695" w:rsidP="00BA6695">
      <w:pPr>
        <w:tabs>
          <w:tab w:val="left" w:pos="1080"/>
          <w:tab w:val="left" w:pos="1260"/>
        </w:tabs>
        <w:spacing w:before="40" w:after="40"/>
        <w:ind w:left="1441" w:hanging="357"/>
        <w:jc w:val="both"/>
        <w:rPr>
          <w:rFonts w:cs="Arial"/>
          <w:color w:val="0D0D0D"/>
          <w:highlight w:val="yellow"/>
        </w:rPr>
      </w:pPr>
    </w:p>
    <w:p w14:paraId="4865D826" w14:textId="77777777" w:rsidR="00BA6695" w:rsidRPr="00696A5D" w:rsidRDefault="00A724BF" w:rsidP="00BA6695">
      <w:pPr>
        <w:tabs>
          <w:tab w:val="left" w:pos="1080"/>
          <w:tab w:val="left" w:pos="1260"/>
        </w:tabs>
        <w:spacing w:before="40" w:after="40"/>
        <w:jc w:val="both"/>
        <w:rPr>
          <w:rFonts w:cs="Arial"/>
          <w:b/>
          <w:bCs/>
          <w:color w:val="0D0D0D"/>
        </w:rPr>
      </w:pPr>
      <w:r w:rsidRPr="00696A5D">
        <w:rPr>
          <w:rFonts w:cs="Arial"/>
          <w:b/>
          <w:bCs/>
          <w:color w:val="0D0D0D"/>
        </w:rPr>
        <w:t>AA-</w:t>
      </w:r>
    </w:p>
    <w:p w14:paraId="0621FB8E" w14:textId="77777777" w:rsidR="00BA6695" w:rsidRPr="00696A5D" w:rsidRDefault="00A724BF" w:rsidP="00BA6695">
      <w:pPr>
        <w:numPr>
          <w:ilvl w:val="0"/>
          <w:numId w:val="58"/>
        </w:numPr>
        <w:tabs>
          <w:tab w:val="left" w:pos="1080"/>
          <w:tab w:val="left" w:pos="1260"/>
        </w:tabs>
        <w:spacing w:before="40" w:after="40" w:line="280" w:lineRule="exact"/>
        <w:jc w:val="both"/>
        <w:rPr>
          <w:rFonts w:cs="Arial"/>
          <w:color w:val="0D0D0D"/>
        </w:rPr>
      </w:pPr>
      <w:r w:rsidRPr="00696A5D">
        <w:rPr>
          <w:rFonts w:cs="Arial"/>
          <w:color w:val="0D0D0D"/>
        </w:rPr>
        <w:t>Belgium</w:t>
      </w:r>
    </w:p>
    <w:p w14:paraId="2EA08E3C" w14:textId="77777777" w:rsidR="00BA6695" w:rsidRPr="00696A5D" w:rsidRDefault="00A724BF" w:rsidP="00BA6695">
      <w:pPr>
        <w:numPr>
          <w:ilvl w:val="0"/>
          <w:numId w:val="58"/>
        </w:numPr>
        <w:tabs>
          <w:tab w:val="left" w:pos="1080"/>
          <w:tab w:val="left" w:pos="1260"/>
        </w:tabs>
        <w:spacing w:before="40" w:after="40" w:line="280" w:lineRule="exact"/>
        <w:jc w:val="both"/>
        <w:rPr>
          <w:rFonts w:cs="Arial"/>
          <w:b/>
          <w:color w:val="0D0D0D"/>
        </w:rPr>
      </w:pPr>
      <w:r w:rsidRPr="00696A5D">
        <w:rPr>
          <w:rFonts w:cs="Arial"/>
          <w:b/>
          <w:color w:val="0D0D0D"/>
        </w:rPr>
        <w:t>U.K.</w:t>
      </w:r>
    </w:p>
    <w:p w14:paraId="607D5FEC" w14:textId="77777777" w:rsidR="008B6E73" w:rsidRPr="00696A5D" w:rsidRDefault="008B6E73" w:rsidP="00CF69B5">
      <w:pPr>
        <w:tabs>
          <w:tab w:val="left" w:pos="1260"/>
        </w:tabs>
        <w:spacing w:before="40" w:after="40"/>
        <w:jc w:val="both"/>
        <w:rPr>
          <w:rFonts w:cs="Arial"/>
          <w:color w:val="0D0D0D"/>
        </w:rPr>
      </w:pPr>
    </w:p>
    <w:p w14:paraId="44D5CF8E" w14:textId="77777777" w:rsidR="008B6E73" w:rsidRPr="00416DEC" w:rsidRDefault="008B6E73" w:rsidP="008B6E73">
      <w:pPr>
        <w:jc w:val="both"/>
        <w:rPr>
          <w:rFonts w:eastAsia="Arial" w:cs="Arial"/>
          <w:i/>
          <w:color w:val="4E4E50"/>
          <w:spacing w:val="0"/>
          <w:sz w:val="22"/>
          <w:szCs w:val="22"/>
          <w:lang w:val="en-AU"/>
        </w:rPr>
      </w:pPr>
    </w:p>
    <w:p w14:paraId="598846DD" w14:textId="77777777" w:rsidR="00CF69B5" w:rsidRPr="00416DEC" w:rsidRDefault="00A724BF" w:rsidP="00CF69B5">
      <w:pPr>
        <w:pStyle w:val="ChapterHeading"/>
        <w:rPr>
          <w:rFonts w:ascii="Arial" w:hAnsi="Arial"/>
          <w:noProof w:val="0"/>
          <w:lang w:eastAsia="en-GB"/>
        </w:rPr>
      </w:pPr>
      <w:r w:rsidRPr="00416DEC">
        <w:rPr>
          <w:rFonts w:ascii="Arial" w:hAnsi="Arial"/>
        </w:rPr>
        <w:lastRenderedPageBreak/>
        <w:t>T</w:t>
      </w:r>
      <w:r w:rsidR="00D04234" w:rsidRPr="00416DEC">
        <w:rPr>
          <w:rFonts w:ascii="Arial" w:hAnsi="Arial"/>
        </w:rPr>
        <w:t>he</w:t>
      </w:r>
      <w:r w:rsidRPr="00416DEC">
        <w:rPr>
          <w:rFonts w:ascii="Arial" w:hAnsi="Arial"/>
        </w:rPr>
        <w:t xml:space="preserve"> T</w:t>
      </w:r>
      <w:r w:rsidR="00D04234" w:rsidRPr="00416DEC">
        <w:rPr>
          <w:rFonts w:ascii="Arial" w:hAnsi="Arial"/>
        </w:rPr>
        <w:t>reasury</w:t>
      </w:r>
      <w:r w:rsidRPr="00416DEC">
        <w:rPr>
          <w:rFonts w:ascii="Arial" w:hAnsi="Arial"/>
        </w:rPr>
        <w:t xml:space="preserve"> M</w:t>
      </w:r>
      <w:r w:rsidR="00D04234" w:rsidRPr="00416DEC">
        <w:rPr>
          <w:rFonts w:ascii="Arial" w:hAnsi="Arial"/>
        </w:rPr>
        <w:t>anagement</w:t>
      </w:r>
      <w:r w:rsidRPr="00416DEC">
        <w:rPr>
          <w:rFonts w:ascii="Arial" w:hAnsi="Arial"/>
        </w:rPr>
        <w:t xml:space="preserve"> R</w:t>
      </w:r>
      <w:r w:rsidR="00D04234" w:rsidRPr="00416DEC">
        <w:rPr>
          <w:rFonts w:ascii="Arial" w:hAnsi="Arial"/>
        </w:rPr>
        <w:t>ole</w:t>
      </w:r>
      <w:r w:rsidRPr="00416DEC">
        <w:rPr>
          <w:rFonts w:ascii="Arial" w:hAnsi="Arial"/>
        </w:rPr>
        <w:t xml:space="preserve"> </w:t>
      </w:r>
      <w:r w:rsidR="00D04234" w:rsidRPr="00416DEC">
        <w:rPr>
          <w:rFonts w:ascii="Arial" w:hAnsi="Arial"/>
        </w:rPr>
        <w:t>of the</w:t>
      </w:r>
      <w:r w:rsidRPr="00416DEC">
        <w:rPr>
          <w:rFonts w:ascii="Arial" w:hAnsi="Arial"/>
        </w:rPr>
        <w:t xml:space="preserve"> S</w:t>
      </w:r>
      <w:r w:rsidR="00D04234" w:rsidRPr="00416DEC">
        <w:rPr>
          <w:rFonts w:ascii="Arial" w:hAnsi="Arial"/>
        </w:rPr>
        <w:t>ection</w:t>
      </w:r>
      <w:r w:rsidRPr="00416DEC">
        <w:rPr>
          <w:rFonts w:ascii="Arial" w:hAnsi="Arial"/>
        </w:rPr>
        <w:t xml:space="preserve"> 151 O</w:t>
      </w:r>
      <w:r w:rsidR="00D04234" w:rsidRPr="00416DEC">
        <w:rPr>
          <w:rFonts w:ascii="Arial" w:hAnsi="Arial"/>
        </w:rPr>
        <w:t>fficer</w:t>
      </w:r>
    </w:p>
    <w:p w14:paraId="5C1362AD" w14:textId="77777777" w:rsidR="00CF69B5" w:rsidRPr="00696A5D" w:rsidRDefault="00A724BF" w:rsidP="00CF69B5">
      <w:pPr>
        <w:autoSpaceDE w:val="0"/>
        <w:autoSpaceDN w:val="0"/>
        <w:adjustRightInd w:val="0"/>
        <w:spacing w:before="100" w:after="100"/>
        <w:rPr>
          <w:rFonts w:cs="Arial"/>
          <w:b/>
          <w:bCs/>
        </w:rPr>
      </w:pPr>
      <w:r w:rsidRPr="00696A5D">
        <w:rPr>
          <w:rFonts w:cs="Arial"/>
          <w:b/>
          <w:bCs/>
        </w:rPr>
        <w:t xml:space="preserve">The S151 (responsible) officer is responsible for: </w:t>
      </w:r>
    </w:p>
    <w:p w14:paraId="6EBD713E" w14:textId="77777777" w:rsidR="00CF69B5" w:rsidRPr="00696A5D" w:rsidRDefault="00A724BF" w:rsidP="00CF69B5">
      <w:pPr>
        <w:numPr>
          <w:ilvl w:val="0"/>
          <w:numId w:val="3"/>
        </w:numPr>
        <w:autoSpaceDE w:val="0"/>
        <w:autoSpaceDN w:val="0"/>
        <w:adjustRightInd w:val="0"/>
        <w:spacing w:before="90" w:after="90"/>
        <w:rPr>
          <w:rFonts w:cs="Arial"/>
        </w:rPr>
      </w:pPr>
      <w:r w:rsidRPr="00696A5D">
        <w:rPr>
          <w:rFonts w:cs="Arial"/>
        </w:rPr>
        <w:t xml:space="preserve">recommending clauses, treasury management policy/practices for approval, reviewing the same regularly, and monitoring </w:t>
      </w:r>
      <w:proofErr w:type="gramStart"/>
      <w:r w:rsidRPr="00696A5D">
        <w:rPr>
          <w:rFonts w:cs="Arial"/>
        </w:rPr>
        <w:t>compliance;</w:t>
      </w:r>
      <w:proofErr w:type="gramEnd"/>
    </w:p>
    <w:p w14:paraId="74AE5507" w14:textId="77777777" w:rsidR="00CF69B5" w:rsidRPr="00696A5D" w:rsidRDefault="00A724BF" w:rsidP="00CF69B5">
      <w:pPr>
        <w:numPr>
          <w:ilvl w:val="0"/>
          <w:numId w:val="3"/>
        </w:numPr>
        <w:autoSpaceDE w:val="0"/>
        <w:autoSpaceDN w:val="0"/>
        <w:adjustRightInd w:val="0"/>
        <w:spacing w:before="90" w:after="90"/>
        <w:rPr>
          <w:rFonts w:cs="Arial"/>
        </w:rPr>
      </w:pPr>
      <w:r w:rsidRPr="00696A5D">
        <w:rPr>
          <w:rFonts w:cs="Arial"/>
        </w:rPr>
        <w:t xml:space="preserve">submitting regular treasury management policy </w:t>
      </w:r>
      <w:proofErr w:type="gramStart"/>
      <w:r w:rsidRPr="00696A5D">
        <w:rPr>
          <w:rFonts w:cs="Arial"/>
        </w:rPr>
        <w:t>reports;</w:t>
      </w:r>
      <w:proofErr w:type="gramEnd"/>
    </w:p>
    <w:p w14:paraId="5F00D0F9" w14:textId="77777777" w:rsidR="00CF69B5" w:rsidRPr="00696A5D" w:rsidRDefault="00A724BF" w:rsidP="00CF69B5">
      <w:pPr>
        <w:numPr>
          <w:ilvl w:val="0"/>
          <w:numId w:val="3"/>
        </w:numPr>
        <w:autoSpaceDE w:val="0"/>
        <w:autoSpaceDN w:val="0"/>
        <w:adjustRightInd w:val="0"/>
        <w:spacing w:before="90" w:after="90"/>
        <w:rPr>
          <w:rFonts w:cs="Arial"/>
        </w:rPr>
      </w:pPr>
      <w:r w:rsidRPr="00696A5D">
        <w:rPr>
          <w:rFonts w:cs="Arial"/>
        </w:rPr>
        <w:t xml:space="preserve">submitting budgets and </w:t>
      </w:r>
      <w:proofErr w:type="gramStart"/>
      <w:r w:rsidRPr="00696A5D">
        <w:rPr>
          <w:rFonts w:cs="Arial"/>
        </w:rPr>
        <w:t>budget</w:t>
      </w:r>
      <w:proofErr w:type="gramEnd"/>
      <w:r w:rsidRPr="00696A5D">
        <w:rPr>
          <w:rFonts w:cs="Arial"/>
        </w:rPr>
        <w:t xml:space="preserve"> variations;</w:t>
      </w:r>
    </w:p>
    <w:p w14:paraId="3D5DBBCC" w14:textId="77777777" w:rsidR="00CF69B5" w:rsidRPr="00696A5D" w:rsidRDefault="00A724BF" w:rsidP="00CF69B5">
      <w:pPr>
        <w:numPr>
          <w:ilvl w:val="0"/>
          <w:numId w:val="3"/>
        </w:numPr>
        <w:autoSpaceDE w:val="0"/>
        <w:autoSpaceDN w:val="0"/>
        <w:adjustRightInd w:val="0"/>
        <w:spacing w:before="90" w:after="90"/>
        <w:rPr>
          <w:rFonts w:cs="Arial"/>
        </w:rPr>
      </w:pPr>
      <w:r w:rsidRPr="00696A5D">
        <w:rPr>
          <w:rFonts w:cs="Arial"/>
        </w:rPr>
        <w:t xml:space="preserve">receiving and reviewing management information </w:t>
      </w:r>
      <w:proofErr w:type="gramStart"/>
      <w:r w:rsidRPr="00696A5D">
        <w:rPr>
          <w:rFonts w:cs="Arial"/>
        </w:rPr>
        <w:t>reports;</w:t>
      </w:r>
      <w:proofErr w:type="gramEnd"/>
    </w:p>
    <w:p w14:paraId="4FFA44B2" w14:textId="77777777" w:rsidR="00CF69B5" w:rsidRPr="00696A5D" w:rsidRDefault="00A724BF" w:rsidP="00CF69B5">
      <w:pPr>
        <w:numPr>
          <w:ilvl w:val="0"/>
          <w:numId w:val="3"/>
        </w:numPr>
        <w:autoSpaceDE w:val="0"/>
        <w:autoSpaceDN w:val="0"/>
        <w:adjustRightInd w:val="0"/>
        <w:spacing w:before="90" w:after="90"/>
        <w:rPr>
          <w:rFonts w:cs="Arial"/>
        </w:rPr>
      </w:pPr>
      <w:r w:rsidRPr="00696A5D">
        <w:rPr>
          <w:rFonts w:cs="Arial"/>
        </w:rPr>
        <w:t xml:space="preserve">reviewing the performance of the treasury management </w:t>
      </w:r>
      <w:proofErr w:type="gramStart"/>
      <w:r w:rsidRPr="00696A5D">
        <w:rPr>
          <w:rFonts w:cs="Arial"/>
        </w:rPr>
        <w:t>function;</w:t>
      </w:r>
      <w:proofErr w:type="gramEnd"/>
    </w:p>
    <w:p w14:paraId="4F2A345C" w14:textId="77777777" w:rsidR="00CF69B5" w:rsidRPr="00696A5D" w:rsidRDefault="00A724BF" w:rsidP="00CF69B5">
      <w:pPr>
        <w:numPr>
          <w:ilvl w:val="0"/>
          <w:numId w:val="3"/>
        </w:numPr>
        <w:autoSpaceDE w:val="0"/>
        <w:autoSpaceDN w:val="0"/>
        <w:adjustRightInd w:val="0"/>
        <w:spacing w:before="90" w:after="90"/>
        <w:rPr>
          <w:rFonts w:cs="Arial"/>
        </w:rPr>
      </w:pPr>
      <w:r w:rsidRPr="00696A5D">
        <w:rPr>
          <w:rFonts w:cs="Arial"/>
        </w:rPr>
        <w:t xml:space="preserve">ensuring the adequacy of treasury management resources and skills, and the effective division of responsibilities within the treasury management </w:t>
      </w:r>
      <w:proofErr w:type="gramStart"/>
      <w:r w:rsidRPr="00696A5D">
        <w:rPr>
          <w:rFonts w:cs="Arial"/>
        </w:rPr>
        <w:t>function;</w:t>
      </w:r>
      <w:proofErr w:type="gramEnd"/>
    </w:p>
    <w:p w14:paraId="21278324" w14:textId="77777777" w:rsidR="00CF69B5" w:rsidRPr="00696A5D" w:rsidRDefault="00A724BF" w:rsidP="00CF69B5">
      <w:pPr>
        <w:numPr>
          <w:ilvl w:val="0"/>
          <w:numId w:val="3"/>
        </w:numPr>
        <w:autoSpaceDE w:val="0"/>
        <w:autoSpaceDN w:val="0"/>
        <w:adjustRightInd w:val="0"/>
        <w:spacing w:before="90" w:after="90"/>
        <w:rPr>
          <w:rFonts w:cs="Arial"/>
        </w:rPr>
      </w:pPr>
      <w:r w:rsidRPr="00696A5D">
        <w:rPr>
          <w:rFonts w:cs="Arial"/>
        </w:rPr>
        <w:t xml:space="preserve">ensuring the adequacy of internal audit, and liaising with external </w:t>
      </w:r>
      <w:proofErr w:type="gramStart"/>
      <w:r w:rsidRPr="00696A5D">
        <w:rPr>
          <w:rFonts w:cs="Arial"/>
        </w:rPr>
        <w:t>audit;</w:t>
      </w:r>
      <w:proofErr w:type="gramEnd"/>
    </w:p>
    <w:p w14:paraId="03DECE21" w14:textId="77777777" w:rsidR="00CF69B5" w:rsidRPr="00696A5D" w:rsidRDefault="00A724BF" w:rsidP="00CF69B5">
      <w:pPr>
        <w:numPr>
          <w:ilvl w:val="0"/>
          <w:numId w:val="3"/>
        </w:numPr>
        <w:autoSpaceDE w:val="0"/>
        <w:autoSpaceDN w:val="0"/>
        <w:adjustRightInd w:val="0"/>
        <w:spacing w:before="90" w:after="90"/>
        <w:rPr>
          <w:rFonts w:cs="Arial"/>
        </w:rPr>
      </w:pPr>
      <w:r w:rsidRPr="00696A5D">
        <w:rPr>
          <w:rFonts w:cs="Arial"/>
        </w:rPr>
        <w:t xml:space="preserve">recommending the appointment of external service providers. </w:t>
      </w:r>
    </w:p>
    <w:p w14:paraId="1596777F" w14:textId="77777777" w:rsidR="00CF69B5" w:rsidRPr="00696A5D" w:rsidRDefault="00A724BF" w:rsidP="00CF69B5">
      <w:pPr>
        <w:numPr>
          <w:ilvl w:val="0"/>
          <w:numId w:val="3"/>
        </w:numPr>
        <w:autoSpaceDE w:val="0"/>
        <w:autoSpaceDN w:val="0"/>
        <w:adjustRightInd w:val="0"/>
        <w:spacing w:before="90" w:after="90"/>
        <w:jc w:val="both"/>
        <w:rPr>
          <w:rFonts w:cs="Arial"/>
          <w:i/>
          <w:color w:val="0000FF"/>
          <w:spacing w:val="0"/>
        </w:rPr>
      </w:pPr>
      <w:r w:rsidRPr="00696A5D">
        <w:rPr>
          <w:rFonts w:cs="Arial"/>
        </w:rPr>
        <w:t xml:space="preserve">preparation of a capital strategy to include </w:t>
      </w:r>
      <w:r w:rsidRPr="00696A5D">
        <w:rPr>
          <w:rFonts w:cs="Arial"/>
          <w:bCs/>
        </w:rPr>
        <w:t xml:space="preserve">capital expenditure, capital financing, non-financial investments and treasury management, </w:t>
      </w:r>
      <w:r w:rsidRPr="00696A5D">
        <w:rPr>
          <w:rFonts w:cs="Arial"/>
        </w:rPr>
        <w:t xml:space="preserve">with a </w:t>
      </w:r>
      <w:proofErr w:type="gramStart"/>
      <w:r w:rsidRPr="00696A5D">
        <w:rPr>
          <w:rFonts w:cs="Arial"/>
        </w:rPr>
        <w:t>long term</w:t>
      </w:r>
      <w:proofErr w:type="gramEnd"/>
      <w:r w:rsidRPr="00696A5D">
        <w:rPr>
          <w:rFonts w:cs="Arial"/>
        </w:rPr>
        <w:t xml:space="preserve"> timeframe </w:t>
      </w:r>
    </w:p>
    <w:p w14:paraId="4872FCC2" w14:textId="77777777" w:rsidR="00CF69B5" w:rsidRPr="00696A5D" w:rsidRDefault="00A724BF" w:rsidP="00CF69B5">
      <w:pPr>
        <w:numPr>
          <w:ilvl w:val="0"/>
          <w:numId w:val="3"/>
        </w:numPr>
        <w:autoSpaceDE w:val="0"/>
        <w:autoSpaceDN w:val="0"/>
        <w:adjustRightInd w:val="0"/>
        <w:spacing w:before="90" w:after="90"/>
        <w:jc w:val="both"/>
        <w:rPr>
          <w:rFonts w:cs="Arial"/>
        </w:rPr>
      </w:pPr>
      <w:r w:rsidRPr="00696A5D">
        <w:rPr>
          <w:rFonts w:cs="Arial"/>
        </w:rPr>
        <w:t xml:space="preserve">ensuring that the capital strategy is prudent, sustainable, </w:t>
      </w:r>
      <w:proofErr w:type="gramStart"/>
      <w:r w:rsidRPr="00696A5D">
        <w:rPr>
          <w:rFonts w:cs="Arial"/>
        </w:rPr>
        <w:t>affordable</w:t>
      </w:r>
      <w:proofErr w:type="gramEnd"/>
      <w:r w:rsidRPr="00696A5D">
        <w:rPr>
          <w:rFonts w:cs="Arial"/>
        </w:rPr>
        <w:t xml:space="preserve"> and prudent in the long term and provides value for money</w:t>
      </w:r>
    </w:p>
    <w:p w14:paraId="7E576C19" w14:textId="77777777" w:rsidR="00CF69B5" w:rsidRPr="00696A5D" w:rsidRDefault="00A724BF" w:rsidP="00CF69B5">
      <w:pPr>
        <w:numPr>
          <w:ilvl w:val="0"/>
          <w:numId w:val="3"/>
        </w:numPr>
        <w:autoSpaceDE w:val="0"/>
        <w:autoSpaceDN w:val="0"/>
        <w:adjustRightInd w:val="0"/>
        <w:spacing w:before="90" w:after="90"/>
        <w:jc w:val="both"/>
        <w:rPr>
          <w:rFonts w:cs="Arial"/>
        </w:rPr>
      </w:pPr>
      <w:r w:rsidRPr="00696A5D">
        <w:rPr>
          <w:rFonts w:cs="Arial"/>
        </w:rPr>
        <w:t>ensuring that due diligence has been carried out on all treasury and non-financial investments and is in accordance with the risk appetite of the authority</w:t>
      </w:r>
    </w:p>
    <w:p w14:paraId="7ADB022D" w14:textId="77777777" w:rsidR="00CF69B5" w:rsidRPr="00696A5D" w:rsidRDefault="00A724BF" w:rsidP="00CF69B5">
      <w:pPr>
        <w:numPr>
          <w:ilvl w:val="0"/>
          <w:numId w:val="3"/>
        </w:numPr>
        <w:autoSpaceDE w:val="0"/>
        <w:autoSpaceDN w:val="0"/>
        <w:adjustRightInd w:val="0"/>
        <w:spacing w:before="90" w:after="90"/>
        <w:jc w:val="both"/>
        <w:rPr>
          <w:rFonts w:cs="Arial"/>
        </w:rPr>
      </w:pPr>
      <w:r w:rsidRPr="00696A5D">
        <w:rPr>
          <w:rFonts w:cs="Arial"/>
        </w:rPr>
        <w:t>ensure that the authority has appropriate legal powers to undertake expenditure on non-financial assets and their financing</w:t>
      </w:r>
    </w:p>
    <w:p w14:paraId="3EEF655E" w14:textId="77777777" w:rsidR="00CF69B5" w:rsidRPr="00696A5D" w:rsidRDefault="00A724BF" w:rsidP="00CF69B5">
      <w:pPr>
        <w:numPr>
          <w:ilvl w:val="0"/>
          <w:numId w:val="3"/>
        </w:numPr>
        <w:autoSpaceDE w:val="0"/>
        <w:autoSpaceDN w:val="0"/>
        <w:adjustRightInd w:val="0"/>
        <w:spacing w:before="90" w:after="90"/>
        <w:jc w:val="both"/>
        <w:rPr>
          <w:rFonts w:cs="Arial"/>
        </w:rPr>
      </w:pPr>
      <w:r w:rsidRPr="00696A5D">
        <w:rPr>
          <w:rFonts w:cs="Arial"/>
        </w:rPr>
        <w:t>ensuring the proportionality of all investments so that the authority does not undertake a level of investing which exposes the authority to an excessive level of risk compared to its financial resources</w:t>
      </w:r>
    </w:p>
    <w:p w14:paraId="0110AC15" w14:textId="77777777" w:rsidR="00CF69B5" w:rsidRPr="00696A5D" w:rsidRDefault="00A724BF" w:rsidP="00CF69B5">
      <w:pPr>
        <w:numPr>
          <w:ilvl w:val="0"/>
          <w:numId w:val="3"/>
        </w:numPr>
        <w:autoSpaceDE w:val="0"/>
        <w:autoSpaceDN w:val="0"/>
        <w:adjustRightInd w:val="0"/>
        <w:spacing w:before="90" w:after="90"/>
        <w:jc w:val="both"/>
        <w:rPr>
          <w:rFonts w:cs="Arial"/>
          <w:color w:val="0D0D0D" w:themeColor="text1" w:themeTint="F2"/>
        </w:rPr>
      </w:pPr>
      <w:r w:rsidRPr="00696A5D">
        <w:rPr>
          <w:rFonts w:cs="Arial"/>
          <w:color w:val="0D0D0D" w:themeColor="text1" w:themeTint="F2"/>
        </w:rPr>
        <w:t xml:space="preserve">ensuring that an adequate governance process is in place for the approval, monitoring and ongoing risk management of all non-financial investments and </w:t>
      </w:r>
      <w:proofErr w:type="gramStart"/>
      <w:r w:rsidRPr="00696A5D">
        <w:rPr>
          <w:rFonts w:cs="Arial"/>
          <w:color w:val="0D0D0D" w:themeColor="text1" w:themeTint="F2"/>
        </w:rPr>
        <w:t>long term</w:t>
      </w:r>
      <w:proofErr w:type="gramEnd"/>
      <w:r w:rsidRPr="00696A5D">
        <w:rPr>
          <w:rFonts w:cs="Arial"/>
          <w:color w:val="0D0D0D" w:themeColor="text1" w:themeTint="F2"/>
        </w:rPr>
        <w:t xml:space="preserve"> liabilities</w:t>
      </w:r>
    </w:p>
    <w:p w14:paraId="77A64870" w14:textId="77777777" w:rsidR="00CF69B5" w:rsidRPr="00696A5D" w:rsidRDefault="00A724BF" w:rsidP="00CF69B5">
      <w:pPr>
        <w:numPr>
          <w:ilvl w:val="0"/>
          <w:numId w:val="3"/>
        </w:numPr>
        <w:autoSpaceDE w:val="0"/>
        <w:autoSpaceDN w:val="0"/>
        <w:adjustRightInd w:val="0"/>
        <w:spacing w:before="90" w:after="90"/>
        <w:jc w:val="both"/>
        <w:rPr>
          <w:rFonts w:cs="Arial"/>
          <w:i/>
          <w:color w:val="0D0D0D" w:themeColor="text1" w:themeTint="F2"/>
          <w:spacing w:val="0"/>
        </w:rPr>
      </w:pPr>
      <w:r w:rsidRPr="00696A5D">
        <w:rPr>
          <w:rFonts w:cs="Arial"/>
          <w:color w:val="0D0D0D" w:themeColor="text1" w:themeTint="F2"/>
        </w:rPr>
        <w:t xml:space="preserve">provision to members of a schedule of all non-treasury investments including material investments in subsidiaries, joint ventures, </w:t>
      </w:r>
      <w:proofErr w:type="gramStart"/>
      <w:r w:rsidRPr="00696A5D">
        <w:rPr>
          <w:rFonts w:cs="Arial"/>
          <w:color w:val="0D0D0D" w:themeColor="text1" w:themeTint="F2"/>
        </w:rPr>
        <w:t>loans</w:t>
      </w:r>
      <w:proofErr w:type="gramEnd"/>
      <w:r w:rsidRPr="00696A5D">
        <w:rPr>
          <w:rFonts w:cs="Arial"/>
          <w:color w:val="0D0D0D" w:themeColor="text1" w:themeTint="F2"/>
        </w:rPr>
        <w:t xml:space="preserve"> and financial guarantees </w:t>
      </w:r>
    </w:p>
    <w:p w14:paraId="4135F457" w14:textId="77777777" w:rsidR="00CF69B5" w:rsidRPr="00696A5D" w:rsidRDefault="00A724BF" w:rsidP="00CF69B5">
      <w:pPr>
        <w:numPr>
          <w:ilvl w:val="0"/>
          <w:numId w:val="3"/>
        </w:numPr>
        <w:autoSpaceDE w:val="0"/>
        <w:autoSpaceDN w:val="0"/>
        <w:adjustRightInd w:val="0"/>
        <w:spacing w:before="90" w:after="90"/>
        <w:jc w:val="both"/>
        <w:rPr>
          <w:rFonts w:cs="Arial"/>
        </w:rPr>
      </w:pPr>
      <w:r w:rsidRPr="00696A5D">
        <w:rPr>
          <w:rFonts w:cs="Arial"/>
          <w:color w:val="0D0D0D" w:themeColor="text1" w:themeTint="F2"/>
        </w:rPr>
        <w:t xml:space="preserve">ensuring that members are adequately informed and understand the risk exposures taken on </w:t>
      </w:r>
      <w:r w:rsidRPr="00696A5D">
        <w:rPr>
          <w:rFonts w:cs="Arial"/>
        </w:rPr>
        <w:t>by an authority</w:t>
      </w:r>
    </w:p>
    <w:p w14:paraId="4DEB722A" w14:textId="77777777" w:rsidR="00CF69B5" w:rsidRPr="00696A5D" w:rsidRDefault="00A724BF" w:rsidP="00CF69B5">
      <w:pPr>
        <w:numPr>
          <w:ilvl w:val="0"/>
          <w:numId w:val="3"/>
        </w:numPr>
        <w:autoSpaceDE w:val="0"/>
        <w:autoSpaceDN w:val="0"/>
        <w:adjustRightInd w:val="0"/>
        <w:spacing w:before="90" w:after="90"/>
        <w:jc w:val="both"/>
        <w:rPr>
          <w:rFonts w:cs="Arial"/>
        </w:rPr>
      </w:pPr>
      <w:r w:rsidRPr="00696A5D">
        <w:rPr>
          <w:rFonts w:cs="Arial"/>
        </w:rPr>
        <w:t>ensuring that the authority has adequate expertise, either in house or externally provided, to carry out the above</w:t>
      </w:r>
    </w:p>
    <w:p w14:paraId="5C8796D0" w14:textId="77777777" w:rsidR="00CF69B5" w:rsidRPr="00696A5D" w:rsidRDefault="00A724BF" w:rsidP="00CF69B5">
      <w:pPr>
        <w:numPr>
          <w:ilvl w:val="0"/>
          <w:numId w:val="3"/>
        </w:numPr>
        <w:autoSpaceDE w:val="0"/>
        <w:autoSpaceDN w:val="0"/>
        <w:adjustRightInd w:val="0"/>
        <w:spacing w:before="90" w:after="90"/>
        <w:jc w:val="both"/>
        <w:rPr>
          <w:rFonts w:cs="Arial"/>
        </w:rPr>
      </w:pPr>
      <w:r w:rsidRPr="00696A5D">
        <w:rPr>
          <w:rFonts w:cs="Arial"/>
        </w:rPr>
        <w:t>creation of Treasury Management Practices which specifically deal with how non treasury investments will be carried out and managed.</w:t>
      </w:r>
    </w:p>
    <w:p w14:paraId="58B1966F" w14:textId="77777777" w:rsidR="00CF69B5" w:rsidRPr="00416DEC" w:rsidRDefault="00CF69B5" w:rsidP="00CF69B5">
      <w:pPr>
        <w:tabs>
          <w:tab w:val="left" w:pos="1260"/>
        </w:tabs>
        <w:spacing w:before="40" w:after="40"/>
        <w:ind w:left="720"/>
        <w:jc w:val="both"/>
        <w:rPr>
          <w:rFonts w:cs="Arial"/>
          <w:sz w:val="22"/>
          <w:szCs w:val="22"/>
        </w:rPr>
      </w:pPr>
    </w:p>
    <w:p w14:paraId="2FE4F73E" w14:textId="77777777" w:rsidR="00CF69B5" w:rsidRPr="00416DEC" w:rsidRDefault="00A724BF" w:rsidP="00CF69B5">
      <w:pPr>
        <w:rPr>
          <w:rFonts w:cs="Arial"/>
          <w:b/>
          <w:sz w:val="36"/>
          <w:szCs w:val="36"/>
          <w:lang w:eastAsia="en-GB"/>
        </w:rPr>
      </w:pPr>
      <w:r w:rsidRPr="00416DEC">
        <w:rPr>
          <w:rFonts w:cs="Arial"/>
          <w:lang w:eastAsia="en-GB"/>
        </w:rPr>
        <w:br w:type="page"/>
      </w:r>
    </w:p>
    <w:p w14:paraId="7DEDD3F8" w14:textId="77777777" w:rsidR="00CF69B5" w:rsidRPr="00416DEC" w:rsidRDefault="00A724BF" w:rsidP="00CF69B5">
      <w:pPr>
        <w:pStyle w:val="ChapterHeading"/>
        <w:rPr>
          <w:rFonts w:ascii="Arial" w:hAnsi="Arial"/>
          <w:noProof w:val="0"/>
          <w:lang w:eastAsia="en-GB"/>
        </w:rPr>
      </w:pPr>
      <w:r w:rsidRPr="00416DEC">
        <w:rPr>
          <w:rFonts w:ascii="Arial" w:hAnsi="Arial"/>
          <w:noProof w:val="0"/>
          <w:lang w:eastAsia="en-GB"/>
        </w:rPr>
        <w:lastRenderedPageBreak/>
        <w:t xml:space="preserve"> </w:t>
      </w:r>
      <w:r w:rsidR="002E042B">
        <w:rPr>
          <w:rFonts w:ascii="Arial" w:hAnsi="Arial"/>
          <w:noProof w:val="0"/>
          <w:lang w:eastAsia="en-GB"/>
        </w:rPr>
        <w:t xml:space="preserve">Summary of </w:t>
      </w:r>
      <w:r w:rsidRPr="00416DEC">
        <w:rPr>
          <w:rFonts w:ascii="Arial" w:hAnsi="Arial"/>
          <w:noProof w:val="0"/>
          <w:lang w:eastAsia="en-GB"/>
        </w:rPr>
        <w:t xml:space="preserve">Changes to Treasury Management Strategy for </w:t>
      </w:r>
      <w:r w:rsidR="001D4F84" w:rsidRPr="00416DEC">
        <w:rPr>
          <w:rFonts w:ascii="Arial" w:hAnsi="Arial"/>
          <w:noProof w:val="0"/>
          <w:lang w:eastAsia="en-GB"/>
        </w:rPr>
        <w:t>2023/24</w:t>
      </w:r>
    </w:p>
    <w:p w14:paraId="27E9D81E" w14:textId="77777777" w:rsidR="00CF69B5" w:rsidRPr="00416DEC" w:rsidRDefault="00CF69B5" w:rsidP="00CF69B5">
      <w:pPr>
        <w:rPr>
          <w:rFonts w:cs="Arial"/>
          <w:b/>
          <w:sz w:val="28"/>
          <w:szCs w:val="28"/>
        </w:rPr>
      </w:pPr>
    </w:p>
    <w:p w14:paraId="5114B6A9" w14:textId="77777777" w:rsidR="00CF69B5" w:rsidRPr="00696A5D" w:rsidRDefault="00A724BF" w:rsidP="00CF69B5">
      <w:pPr>
        <w:rPr>
          <w:rFonts w:cs="Arial"/>
        </w:rPr>
      </w:pPr>
      <w:bookmarkStart w:id="186" w:name="_Hlk123810137"/>
      <w:r w:rsidRPr="00696A5D">
        <w:rPr>
          <w:rFonts w:cs="Arial"/>
        </w:rPr>
        <w:t xml:space="preserve">A large proportion of the Treasury Management Strategy remains the same as last </w:t>
      </w:r>
      <w:proofErr w:type="gramStart"/>
      <w:r w:rsidRPr="00696A5D">
        <w:rPr>
          <w:rFonts w:cs="Arial"/>
        </w:rPr>
        <w:t>year</w:t>
      </w:r>
      <w:proofErr w:type="gramEnd"/>
      <w:r w:rsidRPr="00696A5D">
        <w:rPr>
          <w:rFonts w:cs="Arial"/>
        </w:rPr>
        <w:t xml:space="preserve"> but this section highlights any significant changes made on the previous year’s Strategy.</w:t>
      </w:r>
    </w:p>
    <w:p w14:paraId="22B06157" w14:textId="77777777" w:rsidR="00CF69B5" w:rsidRPr="00696A5D" w:rsidRDefault="00CF69B5" w:rsidP="00CF69B5">
      <w:pPr>
        <w:rPr>
          <w:rFonts w:cs="Arial"/>
        </w:rPr>
      </w:pPr>
    </w:p>
    <w:p w14:paraId="63930851" w14:textId="77777777" w:rsidR="00CF69B5" w:rsidRPr="00696A5D" w:rsidRDefault="00A724BF" w:rsidP="00CF69B5">
      <w:pPr>
        <w:rPr>
          <w:rFonts w:cs="Arial"/>
        </w:rPr>
      </w:pPr>
      <w:r w:rsidRPr="00696A5D">
        <w:rPr>
          <w:rFonts w:cs="Arial"/>
        </w:rPr>
        <w:t>The Prudential Indicators in Section 2 of the Strategy have been updated to reflect the latest figures approved by Council</w:t>
      </w:r>
      <w:r w:rsidR="001D4F84" w:rsidRPr="00696A5D">
        <w:rPr>
          <w:rFonts w:cs="Arial"/>
        </w:rPr>
        <w:t>, including the addition of a new Liability Benchmark indicator required by CIPFA from 2023/24.</w:t>
      </w:r>
    </w:p>
    <w:p w14:paraId="1AB2F0BB" w14:textId="77777777" w:rsidR="001D4F84" w:rsidRPr="00696A5D" w:rsidRDefault="001D4F84" w:rsidP="00CF69B5">
      <w:pPr>
        <w:rPr>
          <w:rFonts w:cs="Arial"/>
        </w:rPr>
      </w:pPr>
    </w:p>
    <w:p w14:paraId="5DC9FF96" w14:textId="77777777" w:rsidR="001D4F84" w:rsidRPr="00696A5D" w:rsidRDefault="00A724BF" w:rsidP="00CF69B5">
      <w:pPr>
        <w:rPr>
          <w:rFonts w:cs="Arial"/>
        </w:rPr>
      </w:pPr>
      <w:r w:rsidRPr="00696A5D">
        <w:rPr>
          <w:rFonts w:cs="Arial"/>
        </w:rPr>
        <w:t xml:space="preserve">The Annual Investment Strategy has been updated to reference the Link creditworthiness service, which employs a sophisticated modelling approach utilising credit ratings from the three main credit rating agencies – Fitch, </w:t>
      </w:r>
      <w:proofErr w:type="gramStart"/>
      <w:r w:rsidRPr="00696A5D">
        <w:rPr>
          <w:rFonts w:cs="Arial"/>
        </w:rPr>
        <w:t>Moody’s</w:t>
      </w:r>
      <w:proofErr w:type="gramEnd"/>
      <w:r w:rsidRPr="00696A5D">
        <w:rPr>
          <w:rFonts w:cs="Arial"/>
        </w:rPr>
        <w:t xml:space="preserve"> and Standard &amp; Poor’s – to be used by officers when assessing potential investments.</w:t>
      </w:r>
    </w:p>
    <w:p w14:paraId="295F0C8A" w14:textId="77777777" w:rsidR="00CF69B5" w:rsidRPr="00696A5D" w:rsidRDefault="00CF69B5" w:rsidP="00CF69B5">
      <w:pPr>
        <w:rPr>
          <w:rFonts w:cs="Arial"/>
        </w:rPr>
      </w:pPr>
    </w:p>
    <w:p w14:paraId="3E70C4F4" w14:textId="77777777" w:rsidR="00980F2D" w:rsidRPr="00696A5D" w:rsidRDefault="00A724BF" w:rsidP="00980F2D">
      <w:pPr>
        <w:rPr>
          <w:rFonts w:cs="Arial"/>
        </w:rPr>
      </w:pPr>
      <w:r w:rsidRPr="00696A5D">
        <w:rPr>
          <w:rFonts w:cs="Arial"/>
        </w:rPr>
        <w:t xml:space="preserve">Section 4 has been updated to reflect the cessation of LIBOR and the associated </w:t>
      </w:r>
      <w:proofErr w:type="gramStart"/>
      <w:r w:rsidRPr="00696A5D">
        <w:rPr>
          <w:rFonts w:cs="Arial"/>
        </w:rPr>
        <w:t>7 day</w:t>
      </w:r>
      <w:proofErr w:type="gramEnd"/>
      <w:r w:rsidRPr="00696A5D">
        <w:rPr>
          <w:rFonts w:cs="Arial"/>
        </w:rPr>
        <w:t xml:space="preserve"> LIBID, which </w:t>
      </w:r>
      <w:r w:rsidR="00BA6695" w:rsidRPr="00696A5D">
        <w:rPr>
          <w:rFonts w:cs="Arial"/>
        </w:rPr>
        <w:t xml:space="preserve">had </w:t>
      </w:r>
      <w:r w:rsidRPr="00696A5D">
        <w:rPr>
          <w:rFonts w:cs="Arial"/>
        </w:rPr>
        <w:t xml:space="preserve">previously </w:t>
      </w:r>
      <w:r w:rsidR="00BA6695" w:rsidRPr="00696A5D">
        <w:rPr>
          <w:rFonts w:cs="Arial"/>
        </w:rPr>
        <w:t xml:space="preserve">been </w:t>
      </w:r>
      <w:r w:rsidRPr="00696A5D">
        <w:rPr>
          <w:rFonts w:cs="Arial"/>
        </w:rPr>
        <w:t xml:space="preserve">used to benchmark the Council’s treasury investment performance. The new </w:t>
      </w:r>
      <w:r w:rsidR="00BA6695" w:rsidRPr="00696A5D">
        <w:rPr>
          <w:rFonts w:cs="Arial"/>
        </w:rPr>
        <w:t xml:space="preserve">recommended benchmark </w:t>
      </w:r>
      <w:r w:rsidRPr="00696A5D">
        <w:rPr>
          <w:rFonts w:cs="Arial"/>
        </w:rPr>
        <w:t xml:space="preserve">is </w:t>
      </w:r>
      <w:r w:rsidR="00BA6695" w:rsidRPr="00696A5D">
        <w:rPr>
          <w:rFonts w:cs="Arial"/>
        </w:rPr>
        <w:t xml:space="preserve">the </w:t>
      </w:r>
      <w:proofErr w:type="gramStart"/>
      <w:r w:rsidRPr="00696A5D">
        <w:rPr>
          <w:rFonts w:cs="Arial"/>
        </w:rPr>
        <w:t>7 day</w:t>
      </w:r>
      <w:proofErr w:type="gramEnd"/>
      <w:r w:rsidRPr="00696A5D">
        <w:rPr>
          <w:rFonts w:cs="Arial"/>
        </w:rPr>
        <w:t xml:space="preserve"> SONIA rate, which is the risk-free rate for sterling markets administered by the Bank of England.</w:t>
      </w:r>
    </w:p>
    <w:p w14:paraId="07408EAC" w14:textId="77777777" w:rsidR="00980F2D" w:rsidRPr="00696A5D" w:rsidRDefault="00980F2D" w:rsidP="00CF69B5">
      <w:pPr>
        <w:rPr>
          <w:rFonts w:cs="Arial"/>
        </w:rPr>
      </w:pPr>
    </w:p>
    <w:p w14:paraId="52AE21A4" w14:textId="77777777" w:rsidR="00980F2D" w:rsidRPr="00696A5D" w:rsidRDefault="00A724BF" w:rsidP="00CF69B5">
      <w:pPr>
        <w:rPr>
          <w:rFonts w:cs="Arial"/>
        </w:rPr>
      </w:pPr>
      <w:r w:rsidRPr="00696A5D">
        <w:rPr>
          <w:rFonts w:cs="Arial"/>
        </w:rPr>
        <w:t>SONIA is based on actual transactions and reflects the average of the interest rates that banks pay to borrow sterling overnight from other financial institutions and other institutional investors. The now-defunct LIBOR had been based on estimated rates.</w:t>
      </w:r>
    </w:p>
    <w:p w14:paraId="7D4D8384" w14:textId="77777777" w:rsidR="00980F2D" w:rsidRPr="00696A5D" w:rsidRDefault="00980F2D" w:rsidP="00CF69B5">
      <w:pPr>
        <w:rPr>
          <w:rFonts w:cs="Arial"/>
        </w:rPr>
      </w:pPr>
    </w:p>
    <w:p w14:paraId="21BB5139" w14:textId="77777777" w:rsidR="00CF69B5" w:rsidRPr="00696A5D" w:rsidRDefault="00A724BF" w:rsidP="00CF69B5">
      <w:pPr>
        <w:rPr>
          <w:rFonts w:cs="Arial"/>
        </w:rPr>
      </w:pPr>
      <w:r w:rsidRPr="00696A5D">
        <w:rPr>
          <w:rFonts w:cs="Arial"/>
        </w:rPr>
        <w:t xml:space="preserve">Section </w:t>
      </w:r>
      <w:r w:rsidR="009F4CF9" w:rsidRPr="00696A5D">
        <w:rPr>
          <w:rFonts w:cs="Arial"/>
        </w:rPr>
        <w:t>5</w:t>
      </w:r>
      <w:r w:rsidRPr="00696A5D">
        <w:rPr>
          <w:rFonts w:cs="Arial"/>
        </w:rPr>
        <w:t xml:space="preserve"> provides a</w:t>
      </w:r>
      <w:r w:rsidR="00BA6695" w:rsidRPr="00696A5D">
        <w:rPr>
          <w:rFonts w:cs="Arial"/>
        </w:rPr>
        <w:t xml:space="preserve"> brief</w:t>
      </w:r>
      <w:r w:rsidRPr="00696A5D">
        <w:rPr>
          <w:rFonts w:cs="Arial"/>
        </w:rPr>
        <w:t xml:space="preserve"> economic update from our independent financial advisors, Link Group. </w:t>
      </w:r>
    </w:p>
    <w:p w14:paraId="2A27AB56" w14:textId="77777777" w:rsidR="00CF69B5" w:rsidRPr="00696A5D" w:rsidRDefault="00CF69B5" w:rsidP="00CF69B5">
      <w:pPr>
        <w:rPr>
          <w:rFonts w:cs="Arial"/>
        </w:rPr>
      </w:pPr>
    </w:p>
    <w:p w14:paraId="4EE4BB7D" w14:textId="7619ACD2" w:rsidR="00CF69B5" w:rsidRPr="00696A5D" w:rsidRDefault="00A724BF" w:rsidP="00CF69B5">
      <w:pPr>
        <w:rPr>
          <w:rFonts w:cs="Arial"/>
        </w:rPr>
      </w:pPr>
      <w:r w:rsidRPr="00696A5D">
        <w:rPr>
          <w:rFonts w:cs="Arial"/>
        </w:rPr>
        <w:t xml:space="preserve">Section </w:t>
      </w:r>
      <w:r w:rsidR="009F4CF9" w:rsidRPr="00696A5D">
        <w:rPr>
          <w:rFonts w:cs="Arial"/>
        </w:rPr>
        <w:t>7</w:t>
      </w:r>
      <w:r w:rsidRPr="00696A5D">
        <w:rPr>
          <w:rFonts w:cs="Arial"/>
        </w:rPr>
        <w:t xml:space="preserve"> provides a list of approved countries for investment</w:t>
      </w:r>
      <w:r w:rsidR="005B2C85" w:rsidRPr="00696A5D">
        <w:rPr>
          <w:rFonts w:cs="Arial"/>
        </w:rPr>
        <w:t xml:space="preserve">. Based on the recommendation of our treasury management advisers, </w:t>
      </w:r>
      <w:r w:rsidR="00696A5D">
        <w:rPr>
          <w:rFonts w:cs="Arial"/>
        </w:rPr>
        <w:t>Hong Kong</w:t>
      </w:r>
      <w:r w:rsidR="005B2C85" w:rsidRPr="00696A5D">
        <w:rPr>
          <w:rFonts w:cs="Arial"/>
        </w:rPr>
        <w:t xml:space="preserve"> and Luxembourg have been removed from the list for 2023/24.</w:t>
      </w:r>
      <w:r w:rsidR="00637229">
        <w:rPr>
          <w:rFonts w:cs="Arial"/>
        </w:rPr>
        <w:t xml:space="preserve"> Qatar and Abu Dhabi have also been removed based on the recommendation by Financial Policy Panel (31 January 2023).</w:t>
      </w:r>
    </w:p>
    <w:bookmarkEnd w:id="186"/>
    <w:p w14:paraId="37F97B8F" w14:textId="77777777" w:rsidR="00EB796A" w:rsidRPr="00696A5D" w:rsidRDefault="00EB796A" w:rsidP="00CF69B5">
      <w:pPr>
        <w:tabs>
          <w:tab w:val="left" w:pos="1080"/>
          <w:tab w:val="left" w:pos="1260"/>
        </w:tabs>
        <w:spacing w:before="40" w:after="40"/>
        <w:ind w:left="720" w:hanging="357"/>
        <w:jc w:val="both"/>
        <w:rPr>
          <w:rFonts w:cs="Arial"/>
        </w:rPr>
      </w:pPr>
    </w:p>
    <w:sectPr w:rsidR="00EB796A" w:rsidRPr="00696A5D" w:rsidSect="00101257">
      <w:headerReference w:type="default" r:id="rId11"/>
      <w:footerReference w:type="default" r:id="rId12"/>
      <w:pgSz w:w="11906" w:h="16838" w:code="9"/>
      <w:pgMar w:top="1440" w:right="1797" w:bottom="1440" w:left="1797" w:header="692"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93FF7" w14:textId="77777777" w:rsidR="00351A68" w:rsidRDefault="00A724BF">
      <w:r>
        <w:separator/>
      </w:r>
    </w:p>
  </w:endnote>
  <w:endnote w:type="continuationSeparator" w:id="0">
    <w:p w14:paraId="60AF0D26" w14:textId="77777777" w:rsidR="00351A68" w:rsidRDefault="00A72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liss 2 Regular">
    <w:altName w:val="Calibri"/>
    <w:panose1 w:val="00000000000000000000"/>
    <w:charset w:val="00"/>
    <w:family w:val="modern"/>
    <w:notTrueType/>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tima">
    <w:altName w:val="Calibri"/>
    <w:charset w:val="00"/>
    <w:family w:val="auto"/>
    <w:pitch w:val="variable"/>
    <w:sig w:usb0="80000067" w:usb1="00000000" w:usb2="00000000" w:usb3="00000000" w:csb0="00000001" w:csb1="00000000"/>
  </w:font>
  <w:font w:name="Optima LT Std">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1BD38" w14:textId="77777777" w:rsidR="0002597B" w:rsidRPr="00B66EDA" w:rsidRDefault="0002597B" w:rsidP="00806E9A">
    <w:pPr>
      <w:pStyle w:val="FooterAssetFinanceflyers"/>
      <w:spacing w:line="240" w:lineRule="auto"/>
      <w:rPr>
        <w:rFonts w:ascii="Arial" w:hAnsi="Arial" w:cs="Arial"/>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BEA67" w14:textId="77777777" w:rsidR="00351A68" w:rsidRDefault="00A724BF">
      <w:r>
        <w:separator/>
      </w:r>
    </w:p>
  </w:footnote>
  <w:footnote w:type="continuationSeparator" w:id="0">
    <w:p w14:paraId="73636173" w14:textId="77777777" w:rsidR="00351A68" w:rsidRDefault="00A72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872D" w14:textId="77777777" w:rsidR="0002597B" w:rsidRPr="00B66EDA" w:rsidRDefault="00A724BF" w:rsidP="00124706">
    <w:pPr>
      <w:pStyle w:val="Header"/>
      <w:framePr w:wrap="around" w:vAnchor="text" w:hAnchor="margin" w:xAlign="right" w:y="1"/>
      <w:rPr>
        <w:rStyle w:val="PageNumber"/>
        <w:rFonts w:cs="Arial"/>
        <w:sz w:val="18"/>
        <w:szCs w:val="18"/>
      </w:rPr>
    </w:pPr>
    <w:r w:rsidRPr="00B66EDA">
      <w:rPr>
        <w:rStyle w:val="PageNumber"/>
        <w:rFonts w:cs="Arial"/>
        <w:sz w:val="18"/>
        <w:szCs w:val="18"/>
      </w:rPr>
      <w:fldChar w:fldCharType="begin"/>
    </w:r>
    <w:r w:rsidRPr="00B66EDA">
      <w:rPr>
        <w:rStyle w:val="PageNumber"/>
        <w:rFonts w:cs="Arial"/>
        <w:sz w:val="18"/>
        <w:szCs w:val="18"/>
      </w:rPr>
      <w:instrText xml:space="preserve">PAGE  </w:instrText>
    </w:r>
    <w:r w:rsidRPr="00B66EDA">
      <w:rPr>
        <w:rStyle w:val="PageNumber"/>
        <w:rFonts w:cs="Arial"/>
        <w:sz w:val="18"/>
        <w:szCs w:val="18"/>
      </w:rPr>
      <w:fldChar w:fldCharType="separate"/>
    </w:r>
    <w:r>
      <w:rPr>
        <w:rStyle w:val="PageNumber"/>
        <w:rFonts w:cs="Arial"/>
        <w:noProof/>
        <w:sz w:val="18"/>
        <w:szCs w:val="18"/>
      </w:rPr>
      <w:t>14</w:t>
    </w:r>
    <w:r w:rsidRPr="00B66EDA">
      <w:rPr>
        <w:rStyle w:val="PageNumber"/>
        <w:rFonts w:cs="Arial"/>
        <w:sz w:val="18"/>
        <w:szCs w:val="18"/>
      </w:rPr>
      <w:fldChar w:fldCharType="end"/>
    </w:r>
  </w:p>
  <w:p w14:paraId="782770C2" w14:textId="77777777" w:rsidR="0002597B" w:rsidRPr="00B66EDA" w:rsidRDefault="0002597B" w:rsidP="004A3CFB">
    <w:pPr>
      <w:pStyle w:val="Header"/>
      <w:ind w:right="36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FBC46A4"/>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F57EAE8C"/>
    <w:lvl w:ilvl="0">
      <w:numFmt w:val="decimal"/>
      <w:lvlText w:val="*"/>
      <w:lvlJc w:val="left"/>
      <w:rPr>
        <w:rFonts w:cs="Times New Roman"/>
      </w:rPr>
    </w:lvl>
  </w:abstractNum>
  <w:abstractNum w:abstractNumId="2" w15:restartNumberingAfterBreak="0">
    <w:nsid w:val="02070846"/>
    <w:multiLevelType w:val="hybridMultilevel"/>
    <w:tmpl w:val="25CEDA94"/>
    <w:lvl w:ilvl="0" w:tplc="53F8DB32">
      <w:start w:val="1"/>
      <w:numFmt w:val="bullet"/>
      <w:lvlText w:val=""/>
      <w:lvlJc w:val="left"/>
      <w:pPr>
        <w:tabs>
          <w:tab w:val="num" w:pos="1080"/>
        </w:tabs>
        <w:ind w:left="1080" w:hanging="360"/>
      </w:pPr>
      <w:rPr>
        <w:rFonts w:ascii="Symbol" w:hAnsi="Symbol" w:hint="default"/>
        <w:b w:val="0"/>
        <w:i w:val="0"/>
        <w:strike w:val="0"/>
        <w:color w:val="auto"/>
      </w:rPr>
    </w:lvl>
    <w:lvl w:ilvl="1" w:tplc="CD06F430">
      <w:start w:val="1"/>
      <w:numFmt w:val="lowerLetter"/>
      <w:lvlText w:val="%2."/>
      <w:lvlJc w:val="left"/>
      <w:pPr>
        <w:tabs>
          <w:tab w:val="num" w:pos="1800"/>
        </w:tabs>
        <w:ind w:left="1800" w:hanging="360"/>
      </w:pPr>
      <w:rPr>
        <w:rFonts w:cs="Times New Roman"/>
        <w:color w:val="auto"/>
      </w:rPr>
    </w:lvl>
    <w:lvl w:ilvl="2" w:tplc="91FE6264" w:tentative="1">
      <w:start w:val="1"/>
      <w:numFmt w:val="lowerRoman"/>
      <w:lvlText w:val="%3."/>
      <w:lvlJc w:val="right"/>
      <w:pPr>
        <w:tabs>
          <w:tab w:val="num" w:pos="2520"/>
        </w:tabs>
        <w:ind w:left="2520" w:hanging="180"/>
      </w:pPr>
      <w:rPr>
        <w:rFonts w:cs="Times New Roman"/>
      </w:rPr>
    </w:lvl>
    <w:lvl w:ilvl="3" w:tplc="FB4E6ECC" w:tentative="1">
      <w:start w:val="1"/>
      <w:numFmt w:val="decimal"/>
      <w:lvlText w:val="%4."/>
      <w:lvlJc w:val="left"/>
      <w:pPr>
        <w:tabs>
          <w:tab w:val="num" w:pos="3240"/>
        </w:tabs>
        <w:ind w:left="3240" w:hanging="360"/>
      </w:pPr>
      <w:rPr>
        <w:rFonts w:cs="Times New Roman"/>
      </w:rPr>
    </w:lvl>
    <w:lvl w:ilvl="4" w:tplc="1E8C2B06" w:tentative="1">
      <w:start w:val="1"/>
      <w:numFmt w:val="lowerLetter"/>
      <w:lvlText w:val="%5."/>
      <w:lvlJc w:val="left"/>
      <w:pPr>
        <w:tabs>
          <w:tab w:val="num" w:pos="3960"/>
        </w:tabs>
        <w:ind w:left="3960" w:hanging="360"/>
      </w:pPr>
      <w:rPr>
        <w:rFonts w:cs="Times New Roman"/>
      </w:rPr>
    </w:lvl>
    <w:lvl w:ilvl="5" w:tplc="14869850" w:tentative="1">
      <w:start w:val="1"/>
      <w:numFmt w:val="lowerRoman"/>
      <w:lvlText w:val="%6."/>
      <w:lvlJc w:val="right"/>
      <w:pPr>
        <w:tabs>
          <w:tab w:val="num" w:pos="4680"/>
        </w:tabs>
        <w:ind w:left="4680" w:hanging="180"/>
      </w:pPr>
      <w:rPr>
        <w:rFonts w:cs="Times New Roman"/>
      </w:rPr>
    </w:lvl>
    <w:lvl w:ilvl="6" w:tplc="D3061E5A" w:tentative="1">
      <w:start w:val="1"/>
      <w:numFmt w:val="decimal"/>
      <w:lvlText w:val="%7."/>
      <w:lvlJc w:val="left"/>
      <w:pPr>
        <w:tabs>
          <w:tab w:val="num" w:pos="5400"/>
        </w:tabs>
        <w:ind w:left="5400" w:hanging="360"/>
      </w:pPr>
      <w:rPr>
        <w:rFonts w:cs="Times New Roman"/>
      </w:rPr>
    </w:lvl>
    <w:lvl w:ilvl="7" w:tplc="E0524F3C" w:tentative="1">
      <w:start w:val="1"/>
      <w:numFmt w:val="lowerLetter"/>
      <w:lvlText w:val="%8."/>
      <w:lvlJc w:val="left"/>
      <w:pPr>
        <w:tabs>
          <w:tab w:val="num" w:pos="6120"/>
        </w:tabs>
        <w:ind w:left="6120" w:hanging="360"/>
      </w:pPr>
      <w:rPr>
        <w:rFonts w:cs="Times New Roman"/>
      </w:rPr>
    </w:lvl>
    <w:lvl w:ilvl="8" w:tplc="3CE47368" w:tentative="1">
      <w:start w:val="1"/>
      <w:numFmt w:val="lowerRoman"/>
      <w:lvlText w:val="%9."/>
      <w:lvlJc w:val="right"/>
      <w:pPr>
        <w:tabs>
          <w:tab w:val="num" w:pos="6840"/>
        </w:tabs>
        <w:ind w:left="6840" w:hanging="180"/>
      </w:pPr>
      <w:rPr>
        <w:rFonts w:cs="Times New Roman"/>
      </w:rPr>
    </w:lvl>
  </w:abstractNum>
  <w:abstractNum w:abstractNumId="3" w15:restartNumberingAfterBreak="0">
    <w:nsid w:val="06DC432E"/>
    <w:multiLevelType w:val="hybridMultilevel"/>
    <w:tmpl w:val="EE3E70F4"/>
    <w:lvl w:ilvl="0" w:tplc="4992E9E2">
      <w:start w:val="1"/>
      <w:numFmt w:val="bullet"/>
      <w:lvlText w:val=""/>
      <w:lvlJc w:val="left"/>
      <w:pPr>
        <w:tabs>
          <w:tab w:val="num" w:pos="1440"/>
        </w:tabs>
        <w:ind w:left="1440" w:hanging="360"/>
      </w:pPr>
      <w:rPr>
        <w:rFonts w:ascii="Symbol" w:hAnsi="Symbol" w:hint="default"/>
      </w:rPr>
    </w:lvl>
    <w:lvl w:ilvl="1" w:tplc="2B3AAFDC" w:tentative="1">
      <w:start w:val="1"/>
      <w:numFmt w:val="bullet"/>
      <w:lvlText w:val="o"/>
      <w:lvlJc w:val="left"/>
      <w:pPr>
        <w:tabs>
          <w:tab w:val="num" w:pos="2160"/>
        </w:tabs>
        <w:ind w:left="2160" w:hanging="360"/>
      </w:pPr>
      <w:rPr>
        <w:rFonts w:ascii="Courier New" w:hAnsi="Courier New" w:cs="Courier New" w:hint="default"/>
      </w:rPr>
    </w:lvl>
    <w:lvl w:ilvl="2" w:tplc="FC5E6776" w:tentative="1">
      <w:start w:val="1"/>
      <w:numFmt w:val="bullet"/>
      <w:lvlText w:val=""/>
      <w:lvlJc w:val="left"/>
      <w:pPr>
        <w:tabs>
          <w:tab w:val="num" w:pos="2880"/>
        </w:tabs>
        <w:ind w:left="2880" w:hanging="360"/>
      </w:pPr>
      <w:rPr>
        <w:rFonts w:ascii="Wingdings" w:hAnsi="Wingdings" w:hint="default"/>
      </w:rPr>
    </w:lvl>
    <w:lvl w:ilvl="3" w:tplc="919EE9F4" w:tentative="1">
      <w:start w:val="1"/>
      <w:numFmt w:val="bullet"/>
      <w:lvlText w:val=""/>
      <w:lvlJc w:val="left"/>
      <w:pPr>
        <w:tabs>
          <w:tab w:val="num" w:pos="3600"/>
        </w:tabs>
        <w:ind w:left="3600" w:hanging="360"/>
      </w:pPr>
      <w:rPr>
        <w:rFonts w:ascii="Symbol" w:hAnsi="Symbol" w:hint="default"/>
      </w:rPr>
    </w:lvl>
    <w:lvl w:ilvl="4" w:tplc="F6BC1D96" w:tentative="1">
      <w:start w:val="1"/>
      <w:numFmt w:val="bullet"/>
      <w:lvlText w:val="o"/>
      <w:lvlJc w:val="left"/>
      <w:pPr>
        <w:tabs>
          <w:tab w:val="num" w:pos="4320"/>
        </w:tabs>
        <w:ind w:left="4320" w:hanging="360"/>
      </w:pPr>
      <w:rPr>
        <w:rFonts w:ascii="Courier New" w:hAnsi="Courier New" w:cs="Courier New" w:hint="default"/>
      </w:rPr>
    </w:lvl>
    <w:lvl w:ilvl="5" w:tplc="7996CC0E" w:tentative="1">
      <w:start w:val="1"/>
      <w:numFmt w:val="bullet"/>
      <w:lvlText w:val=""/>
      <w:lvlJc w:val="left"/>
      <w:pPr>
        <w:tabs>
          <w:tab w:val="num" w:pos="5040"/>
        </w:tabs>
        <w:ind w:left="5040" w:hanging="360"/>
      </w:pPr>
      <w:rPr>
        <w:rFonts w:ascii="Wingdings" w:hAnsi="Wingdings" w:hint="default"/>
      </w:rPr>
    </w:lvl>
    <w:lvl w:ilvl="6" w:tplc="E7741280" w:tentative="1">
      <w:start w:val="1"/>
      <w:numFmt w:val="bullet"/>
      <w:lvlText w:val=""/>
      <w:lvlJc w:val="left"/>
      <w:pPr>
        <w:tabs>
          <w:tab w:val="num" w:pos="5760"/>
        </w:tabs>
        <w:ind w:left="5760" w:hanging="360"/>
      </w:pPr>
      <w:rPr>
        <w:rFonts w:ascii="Symbol" w:hAnsi="Symbol" w:hint="default"/>
      </w:rPr>
    </w:lvl>
    <w:lvl w:ilvl="7" w:tplc="382653A4" w:tentative="1">
      <w:start w:val="1"/>
      <w:numFmt w:val="bullet"/>
      <w:lvlText w:val="o"/>
      <w:lvlJc w:val="left"/>
      <w:pPr>
        <w:tabs>
          <w:tab w:val="num" w:pos="6480"/>
        </w:tabs>
        <w:ind w:left="6480" w:hanging="360"/>
      </w:pPr>
      <w:rPr>
        <w:rFonts w:ascii="Courier New" w:hAnsi="Courier New" w:cs="Courier New" w:hint="default"/>
      </w:rPr>
    </w:lvl>
    <w:lvl w:ilvl="8" w:tplc="22789F26"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7155D8A"/>
    <w:multiLevelType w:val="hybridMultilevel"/>
    <w:tmpl w:val="1200EA22"/>
    <w:lvl w:ilvl="0" w:tplc="0D28F47A">
      <w:start w:val="1"/>
      <w:numFmt w:val="decimal"/>
      <w:lvlText w:val="%1."/>
      <w:lvlJc w:val="left"/>
      <w:pPr>
        <w:ind w:left="502" w:hanging="360"/>
      </w:pPr>
      <w:rPr>
        <w:rFonts w:hint="default"/>
      </w:rPr>
    </w:lvl>
    <w:lvl w:ilvl="1" w:tplc="8696C90C" w:tentative="1">
      <w:start w:val="1"/>
      <w:numFmt w:val="lowerLetter"/>
      <w:lvlText w:val="%2."/>
      <w:lvlJc w:val="left"/>
      <w:pPr>
        <w:ind w:left="1440" w:hanging="360"/>
      </w:pPr>
    </w:lvl>
    <w:lvl w:ilvl="2" w:tplc="4942FCB4" w:tentative="1">
      <w:start w:val="1"/>
      <w:numFmt w:val="lowerRoman"/>
      <w:lvlText w:val="%3."/>
      <w:lvlJc w:val="right"/>
      <w:pPr>
        <w:ind w:left="2160" w:hanging="180"/>
      </w:pPr>
    </w:lvl>
    <w:lvl w:ilvl="3" w:tplc="1F288E1A" w:tentative="1">
      <w:start w:val="1"/>
      <w:numFmt w:val="decimal"/>
      <w:lvlText w:val="%4."/>
      <w:lvlJc w:val="left"/>
      <w:pPr>
        <w:ind w:left="2880" w:hanging="360"/>
      </w:pPr>
    </w:lvl>
    <w:lvl w:ilvl="4" w:tplc="218ED16A" w:tentative="1">
      <w:start w:val="1"/>
      <w:numFmt w:val="lowerLetter"/>
      <w:lvlText w:val="%5."/>
      <w:lvlJc w:val="left"/>
      <w:pPr>
        <w:ind w:left="3600" w:hanging="360"/>
      </w:pPr>
    </w:lvl>
    <w:lvl w:ilvl="5" w:tplc="87683090" w:tentative="1">
      <w:start w:val="1"/>
      <w:numFmt w:val="lowerRoman"/>
      <w:lvlText w:val="%6."/>
      <w:lvlJc w:val="right"/>
      <w:pPr>
        <w:ind w:left="4320" w:hanging="180"/>
      </w:pPr>
    </w:lvl>
    <w:lvl w:ilvl="6" w:tplc="5038F12C" w:tentative="1">
      <w:start w:val="1"/>
      <w:numFmt w:val="decimal"/>
      <w:lvlText w:val="%7."/>
      <w:lvlJc w:val="left"/>
      <w:pPr>
        <w:ind w:left="5040" w:hanging="360"/>
      </w:pPr>
    </w:lvl>
    <w:lvl w:ilvl="7" w:tplc="EC5E612A" w:tentative="1">
      <w:start w:val="1"/>
      <w:numFmt w:val="lowerLetter"/>
      <w:lvlText w:val="%8."/>
      <w:lvlJc w:val="left"/>
      <w:pPr>
        <w:ind w:left="5760" w:hanging="360"/>
      </w:pPr>
    </w:lvl>
    <w:lvl w:ilvl="8" w:tplc="01C668C2" w:tentative="1">
      <w:start w:val="1"/>
      <w:numFmt w:val="lowerRoman"/>
      <w:lvlText w:val="%9."/>
      <w:lvlJc w:val="right"/>
      <w:pPr>
        <w:ind w:left="6480" w:hanging="180"/>
      </w:pPr>
    </w:lvl>
  </w:abstractNum>
  <w:abstractNum w:abstractNumId="5" w15:restartNumberingAfterBreak="0">
    <w:nsid w:val="074F00E6"/>
    <w:multiLevelType w:val="multilevel"/>
    <w:tmpl w:val="26202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E45C98"/>
    <w:multiLevelType w:val="hybridMultilevel"/>
    <w:tmpl w:val="0A60750E"/>
    <w:lvl w:ilvl="0" w:tplc="11BCCF3A">
      <w:start w:val="1"/>
      <w:numFmt w:val="bullet"/>
      <w:lvlText w:val=""/>
      <w:lvlJc w:val="left"/>
      <w:pPr>
        <w:ind w:left="720" w:hanging="360"/>
      </w:pPr>
      <w:rPr>
        <w:rFonts w:ascii="Symbol" w:hAnsi="Symbol" w:hint="default"/>
      </w:rPr>
    </w:lvl>
    <w:lvl w:ilvl="1" w:tplc="8662C73C" w:tentative="1">
      <w:start w:val="1"/>
      <w:numFmt w:val="bullet"/>
      <w:lvlText w:val="o"/>
      <w:lvlJc w:val="left"/>
      <w:pPr>
        <w:ind w:left="1440" w:hanging="360"/>
      </w:pPr>
      <w:rPr>
        <w:rFonts w:ascii="Courier New" w:hAnsi="Courier New" w:cs="Courier New" w:hint="default"/>
      </w:rPr>
    </w:lvl>
    <w:lvl w:ilvl="2" w:tplc="00BC946A" w:tentative="1">
      <w:start w:val="1"/>
      <w:numFmt w:val="bullet"/>
      <w:lvlText w:val=""/>
      <w:lvlJc w:val="left"/>
      <w:pPr>
        <w:ind w:left="2160" w:hanging="360"/>
      </w:pPr>
      <w:rPr>
        <w:rFonts w:ascii="Wingdings" w:hAnsi="Wingdings" w:hint="default"/>
      </w:rPr>
    </w:lvl>
    <w:lvl w:ilvl="3" w:tplc="234EC994" w:tentative="1">
      <w:start w:val="1"/>
      <w:numFmt w:val="bullet"/>
      <w:lvlText w:val=""/>
      <w:lvlJc w:val="left"/>
      <w:pPr>
        <w:ind w:left="2880" w:hanging="360"/>
      </w:pPr>
      <w:rPr>
        <w:rFonts w:ascii="Symbol" w:hAnsi="Symbol" w:hint="default"/>
      </w:rPr>
    </w:lvl>
    <w:lvl w:ilvl="4" w:tplc="E704094E" w:tentative="1">
      <w:start w:val="1"/>
      <w:numFmt w:val="bullet"/>
      <w:lvlText w:val="o"/>
      <w:lvlJc w:val="left"/>
      <w:pPr>
        <w:ind w:left="3600" w:hanging="360"/>
      </w:pPr>
      <w:rPr>
        <w:rFonts w:ascii="Courier New" w:hAnsi="Courier New" w:cs="Courier New" w:hint="default"/>
      </w:rPr>
    </w:lvl>
    <w:lvl w:ilvl="5" w:tplc="4D9244DC" w:tentative="1">
      <w:start w:val="1"/>
      <w:numFmt w:val="bullet"/>
      <w:lvlText w:val=""/>
      <w:lvlJc w:val="left"/>
      <w:pPr>
        <w:ind w:left="4320" w:hanging="360"/>
      </w:pPr>
      <w:rPr>
        <w:rFonts w:ascii="Wingdings" w:hAnsi="Wingdings" w:hint="default"/>
      </w:rPr>
    </w:lvl>
    <w:lvl w:ilvl="6" w:tplc="0C7AEEDA" w:tentative="1">
      <w:start w:val="1"/>
      <w:numFmt w:val="bullet"/>
      <w:lvlText w:val=""/>
      <w:lvlJc w:val="left"/>
      <w:pPr>
        <w:ind w:left="5040" w:hanging="360"/>
      </w:pPr>
      <w:rPr>
        <w:rFonts w:ascii="Symbol" w:hAnsi="Symbol" w:hint="default"/>
      </w:rPr>
    </w:lvl>
    <w:lvl w:ilvl="7" w:tplc="E4CE4EB8" w:tentative="1">
      <w:start w:val="1"/>
      <w:numFmt w:val="bullet"/>
      <w:lvlText w:val="o"/>
      <w:lvlJc w:val="left"/>
      <w:pPr>
        <w:ind w:left="5760" w:hanging="360"/>
      </w:pPr>
      <w:rPr>
        <w:rFonts w:ascii="Courier New" w:hAnsi="Courier New" w:cs="Courier New" w:hint="default"/>
      </w:rPr>
    </w:lvl>
    <w:lvl w:ilvl="8" w:tplc="61B6F9FA" w:tentative="1">
      <w:start w:val="1"/>
      <w:numFmt w:val="bullet"/>
      <w:lvlText w:val=""/>
      <w:lvlJc w:val="left"/>
      <w:pPr>
        <w:ind w:left="6480" w:hanging="360"/>
      </w:pPr>
      <w:rPr>
        <w:rFonts w:ascii="Wingdings" w:hAnsi="Wingdings" w:hint="default"/>
      </w:rPr>
    </w:lvl>
  </w:abstractNum>
  <w:abstractNum w:abstractNumId="7" w15:restartNumberingAfterBreak="0">
    <w:nsid w:val="095D7367"/>
    <w:multiLevelType w:val="singleLevel"/>
    <w:tmpl w:val="1060A94E"/>
    <w:lvl w:ilvl="0">
      <w:start w:val="1"/>
      <w:numFmt w:val="lowerLetter"/>
      <w:lvlText w:val="%1."/>
      <w:lvlJc w:val="left"/>
      <w:pPr>
        <w:tabs>
          <w:tab w:val="num" w:pos="360"/>
        </w:tabs>
        <w:ind w:left="360" w:hanging="360"/>
      </w:pPr>
    </w:lvl>
  </w:abstractNum>
  <w:abstractNum w:abstractNumId="8" w15:restartNumberingAfterBreak="0">
    <w:nsid w:val="09DF706E"/>
    <w:multiLevelType w:val="hybridMultilevel"/>
    <w:tmpl w:val="856E6318"/>
    <w:lvl w:ilvl="0" w:tplc="7ADEF94C">
      <w:start w:val="1"/>
      <w:numFmt w:val="decimal"/>
      <w:lvlText w:val="%1."/>
      <w:lvlJc w:val="left"/>
      <w:pPr>
        <w:ind w:left="928" w:hanging="360"/>
      </w:pPr>
      <w:rPr>
        <w:rFonts w:hint="default"/>
      </w:rPr>
    </w:lvl>
    <w:lvl w:ilvl="1" w:tplc="A3C2E9CC" w:tentative="1">
      <w:start w:val="1"/>
      <w:numFmt w:val="lowerLetter"/>
      <w:lvlText w:val="%2."/>
      <w:lvlJc w:val="left"/>
      <w:pPr>
        <w:ind w:left="1440" w:hanging="360"/>
      </w:pPr>
    </w:lvl>
    <w:lvl w:ilvl="2" w:tplc="BE80E950" w:tentative="1">
      <w:start w:val="1"/>
      <w:numFmt w:val="lowerRoman"/>
      <w:lvlText w:val="%3."/>
      <w:lvlJc w:val="right"/>
      <w:pPr>
        <w:ind w:left="2160" w:hanging="180"/>
      </w:pPr>
    </w:lvl>
    <w:lvl w:ilvl="3" w:tplc="6A6E9FCE" w:tentative="1">
      <w:start w:val="1"/>
      <w:numFmt w:val="decimal"/>
      <w:lvlText w:val="%4."/>
      <w:lvlJc w:val="left"/>
      <w:pPr>
        <w:ind w:left="2880" w:hanging="360"/>
      </w:pPr>
    </w:lvl>
    <w:lvl w:ilvl="4" w:tplc="0FF80522" w:tentative="1">
      <w:start w:val="1"/>
      <w:numFmt w:val="lowerLetter"/>
      <w:lvlText w:val="%5."/>
      <w:lvlJc w:val="left"/>
      <w:pPr>
        <w:ind w:left="3600" w:hanging="360"/>
      </w:pPr>
    </w:lvl>
    <w:lvl w:ilvl="5" w:tplc="5AFCF568" w:tentative="1">
      <w:start w:val="1"/>
      <w:numFmt w:val="lowerRoman"/>
      <w:lvlText w:val="%6."/>
      <w:lvlJc w:val="right"/>
      <w:pPr>
        <w:ind w:left="4320" w:hanging="180"/>
      </w:pPr>
    </w:lvl>
    <w:lvl w:ilvl="6" w:tplc="52B2D88C" w:tentative="1">
      <w:start w:val="1"/>
      <w:numFmt w:val="decimal"/>
      <w:lvlText w:val="%7."/>
      <w:lvlJc w:val="left"/>
      <w:pPr>
        <w:ind w:left="5040" w:hanging="360"/>
      </w:pPr>
    </w:lvl>
    <w:lvl w:ilvl="7" w:tplc="F802EFBC" w:tentative="1">
      <w:start w:val="1"/>
      <w:numFmt w:val="lowerLetter"/>
      <w:lvlText w:val="%8."/>
      <w:lvlJc w:val="left"/>
      <w:pPr>
        <w:ind w:left="5760" w:hanging="360"/>
      </w:pPr>
    </w:lvl>
    <w:lvl w:ilvl="8" w:tplc="A52E7D76" w:tentative="1">
      <w:start w:val="1"/>
      <w:numFmt w:val="lowerRoman"/>
      <w:lvlText w:val="%9."/>
      <w:lvlJc w:val="right"/>
      <w:pPr>
        <w:ind w:left="6480" w:hanging="180"/>
      </w:pPr>
    </w:lvl>
  </w:abstractNum>
  <w:abstractNum w:abstractNumId="9" w15:restartNumberingAfterBreak="0">
    <w:nsid w:val="0E85384E"/>
    <w:multiLevelType w:val="hybridMultilevel"/>
    <w:tmpl w:val="A81E0D16"/>
    <w:lvl w:ilvl="0" w:tplc="0F404906">
      <w:start w:val="1"/>
      <w:numFmt w:val="bullet"/>
      <w:lvlText w:val=""/>
      <w:lvlJc w:val="left"/>
      <w:pPr>
        <w:ind w:left="360" w:hanging="360"/>
      </w:pPr>
      <w:rPr>
        <w:rFonts w:ascii="Symbol" w:hAnsi="Symbol" w:hint="default"/>
      </w:rPr>
    </w:lvl>
    <w:lvl w:ilvl="1" w:tplc="C0B2FD00" w:tentative="1">
      <w:start w:val="1"/>
      <w:numFmt w:val="bullet"/>
      <w:lvlText w:val="o"/>
      <w:lvlJc w:val="left"/>
      <w:pPr>
        <w:ind w:left="1080" w:hanging="360"/>
      </w:pPr>
      <w:rPr>
        <w:rFonts w:ascii="Courier New" w:hAnsi="Courier New" w:cs="Courier New" w:hint="default"/>
      </w:rPr>
    </w:lvl>
    <w:lvl w:ilvl="2" w:tplc="9A486318" w:tentative="1">
      <w:start w:val="1"/>
      <w:numFmt w:val="bullet"/>
      <w:lvlText w:val=""/>
      <w:lvlJc w:val="left"/>
      <w:pPr>
        <w:ind w:left="1800" w:hanging="360"/>
      </w:pPr>
      <w:rPr>
        <w:rFonts w:ascii="Wingdings" w:hAnsi="Wingdings" w:hint="default"/>
      </w:rPr>
    </w:lvl>
    <w:lvl w:ilvl="3" w:tplc="2A10F580" w:tentative="1">
      <w:start w:val="1"/>
      <w:numFmt w:val="bullet"/>
      <w:lvlText w:val=""/>
      <w:lvlJc w:val="left"/>
      <w:pPr>
        <w:ind w:left="2520" w:hanging="360"/>
      </w:pPr>
      <w:rPr>
        <w:rFonts w:ascii="Symbol" w:hAnsi="Symbol" w:hint="default"/>
      </w:rPr>
    </w:lvl>
    <w:lvl w:ilvl="4" w:tplc="AF586650" w:tentative="1">
      <w:start w:val="1"/>
      <w:numFmt w:val="bullet"/>
      <w:lvlText w:val="o"/>
      <w:lvlJc w:val="left"/>
      <w:pPr>
        <w:ind w:left="3240" w:hanging="360"/>
      </w:pPr>
      <w:rPr>
        <w:rFonts w:ascii="Courier New" w:hAnsi="Courier New" w:cs="Courier New" w:hint="default"/>
      </w:rPr>
    </w:lvl>
    <w:lvl w:ilvl="5" w:tplc="A98A7CD0" w:tentative="1">
      <w:start w:val="1"/>
      <w:numFmt w:val="bullet"/>
      <w:lvlText w:val=""/>
      <w:lvlJc w:val="left"/>
      <w:pPr>
        <w:ind w:left="3960" w:hanging="360"/>
      </w:pPr>
      <w:rPr>
        <w:rFonts w:ascii="Wingdings" w:hAnsi="Wingdings" w:hint="default"/>
      </w:rPr>
    </w:lvl>
    <w:lvl w:ilvl="6" w:tplc="A98262B2" w:tentative="1">
      <w:start w:val="1"/>
      <w:numFmt w:val="bullet"/>
      <w:lvlText w:val=""/>
      <w:lvlJc w:val="left"/>
      <w:pPr>
        <w:ind w:left="4680" w:hanging="360"/>
      </w:pPr>
      <w:rPr>
        <w:rFonts w:ascii="Symbol" w:hAnsi="Symbol" w:hint="default"/>
      </w:rPr>
    </w:lvl>
    <w:lvl w:ilvl="7" w:tplc="D4A8DC9C" w:tentative="1">
      <w:start w:val="1"/>
      <w:numFmt w:val="bullet"/>
      <w:lvlText w:val="o"/>
      <w:lvlJc w:val="left"/>
      <w:pPr>
        <w:ind w:left="5400" w:hanging="360"/>
      </w:pPr>
      <w:rPr>
        <w:rFonts w:ascii="Courier New" w:hAnsi="Courier New" w:cs="Courier New" w:hint="default"/>
      </w:rPr>
    </w:lvl>
    <w:lvl w:ilvl="8" w:tplc="0130D5FC" w:tentative="1">
      <w:start w:val="1"/>
      <w:numFmt w:val="bullet"/>
      <w:lvlText w:val=""/>
      <w:lvlJc w:val="left"/>
      <w:pPr>
        <w:ind w:left="6120" w:hanging="360"/>
      </w:pPr>
      <w:rPr>
        <w:rFonts w:ascii="Wingdings" w:hAnsi="Wingdings" w:hint="default"/>
      </w:rPr>
    </w:lvl>
  </w:abstractNum>
  <w:abstractNum w:abstractNumId="10" w15:restartNumberingAfterBreak="0">
    <w:nsid w:val="0EFA3A3B"/>
    <w:multiLevelType w:val="hybridMultilevel"/>
    <w:tmpl w:val="4C56DF1A"/>
    <w:lvl w:ilvl="0" w:tplc="8844F930">
      <w:start w:val="1"/>
      <w:numFmt w:val="lowerLetter"/>
      <w:lvlText w:val="%1."/>
      <w:lvlJc w:val="left"/>
      <w:pPr>
        <w:tabs>
          <w:tab w:val="num" w:pos="786"/>
        </w:tabs>
        <w:ind w:left="786" w:hanging="360"/>
      </w:pPr>
    </w:lvl>
    <w:lvl w:ilvl="1" w:tplc="42647CC0">
      <w:start w:val="1"/>
      <w:numFmt w:val="lowerLetter"/>
      <w:lvlText w:val="%2."/>
      <w:lvlJc w:val="left"/>
      <w:pPr>
        <w:tabs>
          <w:tab w:val="num" w:pos="1506"/>
        </w:tabs>
        <w:ind w:left="1506" w:hanging="360"/>
      </w:pPr>
    </w:lvl>
    <w:lvl w:ilvl="2" w:tplc="4B5C95B2">
      <w:start w:val="1"/>
      <w:numFmt w:val="lowerRoman"/>
      <w:lvlText w:val="%3."/>
      <w:lvlJc w:val="right"/>
      <w:pPr>
        <w:tabs>
          <w:tab w:val="num" w:pos="2226"/>
        </w:tabs>
        <w:ind w:left="2226" w:hanging="180"/>
      </w:pPr>
    </w:lvl>
    <w:lvl w:ilvl="3" w:tplc="4CBE9CDC">
      <w:start w:val="1"/>
      <w:numFmt w:val="decimal"/>
      <w:lvlText w:val="%4."/>
      <w:lvlJc w:val="left"/>
      <w:pPr>
        <w:tabs>
          <w:tab w:val="num" w:pos="2946"/>
        </w:tabs>
        <w:ind w:left="2946" w:hanging="360"/>
      </w:pPr>
    </w:lvl>
    <w:lvl w:ilvl="4" w:tplc="0A1E8A3C">
      <w:start w:val="1"/>
      <w:numFmt w:val="lowerLetter"/>
      <w:lvlText w:val="%5."/>
      <w:lvlJc w:val="left"/>
      <w:pPr>
        <w:tabs>
          <w:tab w:val="num" w:pos="3666"/>
        </w:tabs>
        <w:ind w:left="3666" w:hanging="360"/>
      </w:pPr>
    </w:lvl>
    <w:lvl w:ilvl="5" w:tplc="BE14A9FC">
      <w:start w:val="1"/>
      <w:numFmt w:val="lowerRoman"/>
      <w:lvlText w:val="%6."/>
      <w:lvlJc w:val="right"/>
      <w:pPr>
        <w:tabs>
          <w:tab w:val="num" w:pos="4386"/>
        </w:tabs>
        <w:ind w:left="4386" w:hanging="180"/>
      </w:pPr>
    </w:lvl>
    <w:lvl w:ilvl="6" w:tplc="A000918E">
      <w:start w:val="1"/>
      <w:numFmt w:val="decimal"/>
      <w:lvlText w:val="%7."/>
      <w:lvlJc w:val="left"/>
      <w:pPr>
        <w:tabs>
          <w:tab w:val="num" w:pos="5106"/>
        </w:tabs>
        <w:ind w:left="5106" w:hanging="360"/>
      </w:pPr>
    </w:lvl>
    <w:lvl w:ilvl="7" w:tplc="7388A388">
      <w:start w:val="1"/>
      <w:numFmt w:val="lowerLetter"/>
      <w:lvlText w:val="%8."/>
      <w:lvlJc w:val="left"/>
      <w:pPr>
        <w:tabs>
          <w:tab w:val="num" w:pos="5826"/>
        </w:tabs>
        <w:ind w:left="5826" w:hanging="360"/>
      </w:pPr>
    </w:lvl>
    <w:lvl w:ilvl="8" w:tplc="2EC4870C">
      <w:start w:val="1"/>
      <w:numFmt w:val="lowerRoman"/>
      <w:lvlText w:val="%9."/>
      <w:lvlJc w:val="right"/>
      <w:pPr>
        <w:tabs>
          <w:tab w:val="num" w:pos="6546"/>
        </w:tabs>
        <w:ind w:left="6546" w:hanging="180"/>
      </w:pPr>
    </w:lvl>
  </w:abstractNum>
  <w:abstractNum w:abstractNumId="11" w15:restartNumberingAfterBreak="0">
    <w:nsid w:val="110766D9"/>
    <w:multiLevelType w:val="hybridMultilevel"/>
    <w:tmpl w:val="AE1C0C4E"/>
    <w:lvl w:ilvl="0" w:tplc="496ACFC2">
      <w:start w:val="1"/>
      <w:numFmt w:val="bullet"/>
      <w:lvlText w:val=""/>
      <w:lvlJc w:val="left"/>
      <w:pPr>
        <w:tabs>
          <w:tab w:val="num" w:pos="1080"/>
        </w:tabs>
        <w:ind w:left="1080" w:hanging="360"/>
      </w:pPr>
      <w:rPr>
        <w:rFonts w:ascii="Symbol" w:hAnsi="Symbol" w:hint="default"/>
      </w:rPr>
    </w:lvl>
    <w:lvl w:ilvl="1" w:tplc="CF3E223C">
      <w:start w:val="1"/>
      <w:numFmt w:val="bullet"/>
      <w:lvlText w:val="o"/>
      <w:lvlJc w:val="left"/>
      <w:pPr>
        <w:tabs>
          <w:tab w:val="num" w:pos="1800"/>
        </w:tabs>
        <w:ind w:left="1800" w:hanging="360"/>
      </w:pPr>
      <w:rPr>
        <w:rFonts w:ascii="Courier New" w:hAnsi="Courier New" w:cs="Courier New" w:hint="default"/>
      </w:rPr>
    </w:lvl>
    <w:lvl w:ilvl="2" w:tplc="AFB64F50">
      <w:start w:val="1"/>
      <w:numFmt w:val="bullet"/>
      <w:lvlText w:val=""/>
      <w:lvlJc w:val="left"/>
      <w:pPr>
        <w:tabs>
          <w:tab w:val="num" w:pos="2520"/>
        </w:tabs>
        <w:ind w:left="2520" w:hanging="360"/>
      </w:pPr>
      <w:rPr>
        <w:rFonts w:ascii="Wingdings" w:hAnsi="Wingdings" w:hint="default"/>
      </w:rPr>
    </w:lvl>
    <w:lvl w:ilvl="3" w:tplc="248EB97A">
      <w:start w:val="1"/>
      <w:numFmt w:val="bullet"/>
      <w:lvlText w:val=""/>
      <w:lvlJc w:val="left"/>
      <w:pPr>
        <w:tabs>
          <w:tab w:val="num" w:pos="3240"/>
        </w:tabs>
        <w:ind w:left="3240" w:hanging="360"/>
      </w:pPr>
      <w:rPr>
        <w:rFonts w:ascii="Symbol" w:hAnsi="Symbol" w:hint="default"/>
      </w:rPr>
    </w:lvl>
    <w:lvl w:ilvl="4" w:tplc="204A29F2">
      <w:start w:val="1"/>
      <w:numFmt w:val="bullet"/>
      <w:lvlText w:val="o"/>
      <w:lvlJc w:val="left"/>
      <w:pPr>
        <w:tabs>
          <w:tab w:val="num" w:pos="3960"/>
        </w:tabs>
        <w:ind w:left="3960" w:hanging="360"/>
      </w:pPr>
      <w:rPr>
        <w:rFonts w:ascii="Courier New" w:hAnsi="Courier New" w:cs="Courier New" w:hint="default"/>
      </w:rPr>
    </w:lvl>
    <w:lvl w:ilvl="5" w:tplc="984C3234">
      <w:start w:val="1"/>
      <w:numFmt w:val="bullet"/>
      <w:lvlText w:val=""/>
      <w:lvlJc w:val="left"/>
      <w:pPr>
        <w:tabs>
          <w:tab w:val="num" w:pos="4680"/>
        </w:tabs>
        <w:ind w:left="4680" w:hanging="360"/>
      </w:pPr>
      <w:rPr>
        <w:rFonts w:ascii="Wingdings" w:hAnsi="Wingdings" w:hint="default"/>
      </w:rPr>
    </w:lvl>
    <w:lvl w:ilvl="6" w:tplc="4D18FDB6">
      <w:start w:val="1"/>
      <w:numFmt w:val="bullet"/>
      <w:lvlText w:val=""/>
      <w:lvlJc w:val="left"/>
      <w:pPr>
        <w:tabs>
          <w:tab w:val="num" w:pos="5400"/>
        </w:tabs>
        <w:ind w:left="5400" w:hanging="360"/>
      </w:pPr>
      <w:rPr>
        <w:rFonts w:ascii="Symbol" w:hAnsi="Symbol" w:hint="default"/>
      </w:rPr>
    </w:lvl>
    <w:lvl w:ilvl="7" w:tplc="BFD01400">
      <w:start w:val="1"/>
      <w:numFmt w:val="bullet"/>
      <w:lvlText w:val="o"/>
      <w:lvlJc w:val="left"/>
      <w:pPr>
        <w:tabs>
          <w:tab w:val="num" w:pos="6120"/>
        </w:tabs>
        <w:ind w:left="6120" w:hanging="360"/>
      </w:pPr>
      <w:rPr>
        <w:rFonts w:ascii="Courier New" w:hAnsi="Courier New" w:cs="Courier New" w:hint="default"/>
      </w:rPr>
    </w:lvl>
    <w:lvl w:ilvl="8" w:tplc="AEC8AD46">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21C73E0"/>
    <w:multiLevelType w:val="hybridMultilevel"/>
    <w:tmpl w:val="44E0BA8A"/>
    <w:lvl w:ilvl="0" w:tplc="3AA8BC32">
      <w:start w:val="1"/>
      <w:numFmt w:val="lowerLetter"/>
      <w:lvlText w:val="%1)"/>
      <w:lvlJc w:val="left"/>
      <w:pPr>
        <w:tabs>
          <w:tab w:val="num" w:pos="1440"/>
        </w:tabs>
        <w:ind w:left="1440" w:hanging="720"/>
      </w:pPr>
    </w:lvl>
    <w:lvl w:ilvl="1" w:tplc="76004D08" w:tentative="1">
      <w:start w:val="1"/>
      <w:numFmt w:val="lowerLetter"/>
      <w:lvlText w:val="%2."/>
      <w:lvlJc w:val="left"/>
      <w:pPr>
        <w:tabs>
          <w:tab w:val="num" w:pos="2160"/>
        </w:tabs>
        <w:ind w:left="2160" w:hanging="360"/>
      </w:pPr>
    </w:lvl>
    <w:lvl w:ilvl="2" w:tplc="B510D32C" w:tentative="1">
      <w:start w:val="1"/>
      <w:numFmt w:val="lowerRoman"/>
      <w:lvlText w:val="%3."/>
      <w:lvlJc w:val="right"/>
      <w:pPr>
        <w:tabs>
          <w:tab w:val="num" w:pos="2880"/>
        </w:tabs>
        <w:ind w:left="2880" w:hanging="180"/>
      </w:pPr>
    </w:lvl>
    <w:lvl w:ilvl="3" w:tplc="CD06EB14" w:tentative="1">
      <w:start w:val="1"/>
      <w:numFmt w:val="decimal"/>
      <w:lvlText w:val="%4."/>
      <w:lvlJc w:val="left"/>
      <w:pPr>
        <w:tabs>
          <w:tab w:val="num" w:pos="3600"/>
        </w:tabs>
        <w:ind w:left="3600" w:hanging="360"/>
      </w:pPr>
    </w:lvl>
    <w:lvl w:ilvl="4" w:tplc="248C9A68" w:tentative="1">
      <w:start w:val="1"/>
      <w:numFmt w:val="lowerLetter"/>
      <w:lvlText w:val="%5."/>
      <w:lvlJc w:val="left"/>
      <w:pPr>
        <w:tabs>
          <w:tab w:val="num" w:pos="4320"/>
        </w:tabs>
        <w:ind w:left="4320" w:hanging="360"/>
      </w:pPr>
    </w:lvl>
    <w:lvl w:ilvl="5" w:tplc="19BEF10C" w:tentative="1">
      <w:start w:val="1"/>
      <w:numFmt w:val="lowerRoman"/>
      <w:lvlText w:val="%6."/>
      <w:lvlJc w:val="right"/>
      <w:pPr>
        <w:tabs>
          <w:tab w:val="num" w:pos="5040"/>
        </w:tabs>
        <w:ind w:left="5040" w:hanging="180"/>
      </w:pPr>
    </w:lvl>
    <w:lvl w:ilvl="6" w:tplc="ED624D7C" w:tentative="1">
      <w:start w:val="1"/>
      <w:numFmt w:val="decimal"/>
      <w:lvlText w:val="%7."/>
      <w:lvlJc w:val="left"/>
      <w:pPr>
        <w:tabs>
          <w:tab w:val="num" w:pos="5760"/>
        </w:tabs>
        <w:ind w:left="5760" w:hanging="360"/>
      </w:pPr>
    </w:lvl>
    <w:lvl w:ilvl="7" w:tplc="EE606D10" w:tentative="1">
      <w:start w:val="1"/>
      <w:numFmt w:val="lowerLetter"/>
      <w:lvlText w:val="%8."/>
      <w:lvlJc w:val="left"/>
      <w:pPr>
        <w:tabs>
          <w:tab w:val="num" w:pos="6480"/>
        </w:tabs>
        <w:ind w:left="6480" w:hanging="360"/>
      </w:pPr>
    </w:lvl>
    <w:lvl w:ilvl="8" w:tplc="5AA04078" w:tentative="1">
      <w:start w:val="1"/>
      <w:numFmt w:val="lowerRoman"/>
      <w:lvlText w:val="%9."/>
      <w:lvlJc w:val="right"/>
      <w:pPr>
        <w:tabs>
          <w:tab w:val="num" w:pos="7200"/>
        </w:tabs>
        <w:ind w:left="7200" w:hanging="180"/>
      </w:pPr>
    </w:lvl>
  </w:abstractNum>
  <w:abstractNum w:abstractNumId="13" w15:restartNumberingAfterBreak="0">
    <w:nsid w:val="12D82AFD"/>
    <w:multiLevelType w:val="hybridMultilevel"/>
    <w:tmpl w:val="C8F287EC"/>
    <w:lvl w:ilvl="0" w:tplc="2EF825FA">
      <w:start w:val="1"/>
      <w:numFmt w:val="bullet"/>
      <w:lvlText w:val=""/>
      <w:lvlJc w:val="left"/>
      <w:pPr>
        <w:ind w:left="720" w:hanging="360"/>
      </w:pPr>
      <w:rPr>
        <w:rFonts w:ascii="Symbol" w:hAnsi="Symbol" w:hint="default"/>
      </w:rPr>
    </w:lvl>
    <w:lvl w:ilvl="1" w:tplc="4218FBB8" w:tentative="1">
      <w:start w:val="1"/>
      <w:numFmt w:val="bullet"/>
      <w:lvlText w:val="o"/>
      <w:lvlJc w:val="left"/>
      <w:pPr>
        <w:ind w:left="1440" w:hanging="360"/>
      </w:pPr>
      <w:rPr>
        <w:rFonts w:ascii="Courier New" w:hAnsi="Courier New" w:cs="Courier New" w:hint="default"/>
      </w:rPr>
    </w:lvl>
    <w:lvl w:ilvl="2" w:tplc="736A3410" w:tentative="1">
      <w:start w:val="1"/>
      <w:numFmt w:val="bullet"/>
      <w:lvlText w:val=""/>
      <w:lvlJc w:val="left"/>
      <w:pPr>
        <w:ind w:left="2160" w:hanging="360"/>
      </w:pPr>
      <w:rPr>
        <w:rFonts w:ascii="Wingdings" w:hAnsi="Wingdings" w:hint="default"/>
      </w:rPr>
    </w:lvl>
    <w:lvl w:ilvl="3" w:tplc="997C9BD8" w:tentative="1">
      <w:start w:val="1"/>
      <w:numFmt w:val="bullet"/>
      <w:lvlText w:val=""/>
      <w:lvlJc w:val="left"/>
      <w:pPr>
        <w:ind w:left="2880" w:hanging="360"/>
      </w:pPr>
      <w:rPr>
        <w:rFonts w:ascii="Symbol" w:hAnsi="Symbol" w:hint="default"/>
      </w:rPr>
    </w:lvl>
    <w:lvl w:ilvl="4" w:tplc="53BE36BA" w:tentative="1">
      <w:start w:val="1"/>
      <w:numFmt w:val="bullet"/>
      <w:lvlText w:val="o"/>
      <w:lvlJc w:val="left"/>
      <w:pPr>
        <w:ind w:left="3600" w:hanging="360"/>
      </w:pPr>
      <w:rPr>
        <w:rFonts w:ascii="Courier New" w:hAnsi="Courier New" w:cs="Courier New" w:hint="default"/>
      </w:rPr>
    </w:lvl>
    <w:lvl w:ilvl="5" w:tplc="EB34E0FC" w:tentative="1">
      <w:start w:val="1"/>
      <w:numFmt w:val="bullet"/>
      <w:lvlText w:val=""/>
      <w:lvlJc w:val="left"/>
      <w:pPr>
        <w:ind w:left="4320" w:hanging="360"/>
      </w:pPr>
      <w:rPr>
        <w:rFonts w:ascii="Wingdings" w:hAnsi="Wingdings" w:hint="default"/>
      </w:rPr>
    </w:lvl>
    <w:lvl w:ilvl="6" w:tplc="B692B0F6" w:tentative="1">
      <w:start w:val="1"/>
      <w:numFmt w:val="bullet"/>
      <w:lvlText w:val=""/>
      <w:lvlJc w:val="left"/>
      <w:pPr>
        <w:ind w:left="5040" w:hanging="360"/>
      </w:pPr>
      <w:rPr>
        <w:rFonts w:ascii="Symbol" w:hAnsi="Symbol" w:hint="default"/>
      </w:rPr>
    </w:lvl>
    <w:lvl w:ilvl="7" w:tplc="6A386948" w:tentative="1">
      <w:start w:val="1"/>
      <w:numFmt w:val="bullet"/>
      <w:lvlText w:val="o"/>
      <w:lvlJc w:val="left"/>
      <w:pPr>
        <w:ind w:left="5760" w:hanging="360"/>
      </w:pPr>
      <w:rPr>
        <w:rFonts w:ascii="Courier New" w:hAnsi="Courier New" w:cs="Courier New" w:hint="default"/>
      </w:rPr>
    </w:lvl>
    <w:lvl w:ilvl="8" w:tplc="82C42356" w:tentative="1">
      <w:start w:val="1"/>
      <w:numFmt w:val="bullet"/>
      <w:lvlText w:val=""/>
      <w:lvlJc w:val="left"/>
      <w:pPr>
        <w:ind w:left="6480" w:hanging="360"/>
      </w:pPr>
      <w:rPr>
        <w:rFonts w:ascii="Wingdings" w:hAnsi="Wingdings" w:hint="default"/>
      </w:rPr>
    </w:lvl>
  </w:abstractNum>
  <w:abstractNum w:abstractNumId="14" w15:restartNumberingAfterBreak="0">
    <w:nsid w:val="15A87080"/>
    <w:multiLevelType w:val="hybridMultilevel"/>
    <w:tmpl w:val="6DEC9150"/>
    <w:lvl w:ilvl="0" w:tplc="E37A630A">
      <w:start w:val="1"/>
      <w:numFmt w:val="bullet"/>
      <w:lvlText w:val=""/>
      <w:lvlJc w:val="left"/>
      <w:pPr>
        <w:tabs>
          <w:tab w:val="num" w:pos="417"/>
        </w:tabs>
        <w:ind w:left="284" w:hanging="227"/>
      </w:pPr>
      <w:rPr>
        <w:rFonts w:ascii="Symbol" w:hAnsi="Symbol" w:hint="default"/>
        <w:color w:val="auto"/>
      </w:rPr>
    </w:lvl>
    <w:lvl w:ilvl="1" w:tplc="EFB218DE" w:tentative="1">
      <w:start w:val="1"/>
      <w:numFmt w:val="bullet"/>
      <w:lvlText w:val="o"/>
      <w:lvlJc w:val="left"/>
      <w:pPr>
        <w:tabs>
          <w:tab w:val="num" w:pos="1440"/>
        </w:tabs>
        <w:ind w:left="1440" w:hanging="360"/>
      </w:pPr>
      <w:rPr>
        <w:rFonts w:ascii="Courier New" w:hAnsi="Courier New" w:hint="default"/>
      </w:rPr>
    </w:lvl>
    <w:lvl w:ilvl="2" w:tplc="4FB8BC16" w:tentative="1">
      <w:start w:val="1"/>
      <w:numFmt w:val="bullet"/>
      <w:lvlText w:val=""/>
      <w:lvlJc w:val="left"/>
      <w:pPr>
        <w:tabs>
          <w:tab w:val="num" w:pos="2160"/>
        </w:tabs>
        <w:ind w:left="2160" w:hanging="360"/>
      </w:pPr>
      <w:rPr>
        <w:rFonts w:ascii="Wingdings" w:hAnsi="Wingdings" w:hint="default"/>
      </w:rPr>
    </w:lvl>
    <w:lvl w:ilvl="3" w:tplc="28908E56" w:tentative="1">
      <w:start w:val="1"/>
      <w:numFmt w:val="bullet"/>
      <w:lvlText w:val=""/>
      <w:lvlJc w:val="left"/>
      <w:pPr>
        <w:tabs>
          <w:tab w:val="num" w:pos="2880"/>
        </w:tabs>
        <w:ind w:left="2880" w:hanging="360"/>
      </w:pPr>
      <w:rPr>
        <w:rFonts w:ascii="Symbol" w:hAnsi="Symbol" w:hint="default"/>
      </w:rPr>
    </w:lvl>
    <w:lvl w:ilvl="4" w:tplc="FB360E40" w:tentative="1">
      <w:start w:val="1"/>
      <w:numFmt w:val="bullet"/>
      <w:lvlText w:val="o"/>
      <w:lvlJc w:val="left"/>
      <w:pPr>
        <w:tabs>
          <w:tab w:val="num" w:pos="3600"/>
        </w:tabs>
        <w:ind w:left="3600" w:hanging="360"/>
      </w:pPr>
      <w:rPr>
        <w:rFonts w:ascii="Courier New" w:hAnsi="Courier New" w:hint="default"/>
      </w:rPr>
    </w:lvl>
    <w:lvl w:ilvl="5" w:tplc="18F01A64" w:tentative="1">
      <w:start w:val="1"/>
      <w:numFmt w:val="bullet"/>
      <w:lvlText w:val=""/>
      <w:lvlJc w:val="left"/>
      <w:pPr>
        <w:tabs>
          <w:tab w:val="num" w:pos="4320"/>
        </w:tabs>
        <w:ind w:left="4320" w:hanging="360"/>
      </w:pPr>
      <w:rPr>
        <w:rFonts w:ascii="Wingdings" w:hAnsi="Wingdings" w:hint="default"/>
      </w:rPr>
    </w:lvl>
    <w:lvl w:ilvl="6" w:tplc="E30E253A" w:tentative="1">
      <w:start w:val="1"/>
      <w:numFmt w:val="bullet"/>
      <w:lvlText w:val=""/>
      <w:lvlJc w:val="left"/>
      <w:pPr>
        <w:tabs>
          <w:tab w:val="num" w:pos="5040"/>
        </w:tabs>
        <w:ind w:left="5040" w:hanging="360"/>
      </w:pPr>
      <w:rPr>
        <w:rFonts w:ascii="Symbol" w:hAnsi="Symbol" w:hint="default"/>
      </w:rPr>
    </w:lvl>
    <w:lvl w:ilvl="7" w:tplc="89C264FA" w:tentative="1">
      <w:start w:val="1"/>
      <w:numFmt w:val="bullet"/>
      <w:lvlText w:val="o"/>
      <w:lvlJc w:val="left"/>
      <w:pPr>
        <w:tabs>
          <w:tab w:val="num" w:pos="5760"/>
        </w:tabs>
        <w:ind w:left="5760" w:hanging="360"/>
      </w:pPr>
      <w:rPr>
        <w:rFonts w:ascii="Courier New" w:hAnsi="Courier New" w:hint="default"/>
      </w:rPr>
    </w:lvl>
    <w:lvl w:ilvl="8" w:tplc="6128B3D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F07135"/>
    <w:multiLevelType w:val="hybridMultilevel"/>
    <w:tmpl w:val="C84459F2"/>
    <w:lvl w:ilvl="0" w:tplc="20F25E90">
      <w:start w:val="1"/>
      <w:numFmt w:val="decimal"/>
      <w:lvlText w:val="%1."/>
      <w:lvlJc w:val="left"/>
      <w:pPr>
        <w:tabs>
          <w:tab w:val="num" w:pos="417"/>
        </w:tabs>
        <w:ind w:left="417" w:hanging="360"/>
      </w:pPr>
      <w:rPr>
        <w:rFonts w:cs="Times New Roman"/>
      </w:rPr>
    </w:lvl>
    <w:lvl w:ilvl="1" w:tplc="2A10FF22" w:tentative="1">
      <w:start w:val="1"/>
      <w:numFmt w:val="bullet"/>
      <w:lvlText w:val="o"/>
      <w:lvlJc w:val="left"/>
      <w:pPr>
        <w:tabs>
          <w:tab w:val="num" w:pos="1440"/>
        </w:tabs>
        <w:ind w:left="1440" w:hanging="360"/>
      </w:pPr>
      <w:rPr>
        <w:rFonts w:ascii="Courier New" w:hAnsi="Courier New" w:hint="default"/>
      </w:rPr>
    </w:lvl>
    <w:lvl w:ilvl="2" w:tplc="5AA280A0" w:tentative="1">
      <w:start w:val="1"/>
      <w:numFmt w:val="bullet"/>
      <w:lvlText w:val=""/>
      <w:lvlJc w:val="left"/>
      <w:pPr>
        <w:tabs>
          <w:tab w:val="num" w:pos="2160"/>
        </w:tabs>
        <w:ind w:left="2160" w:hanging="360"/>
      </w:pPr>
      <w:rPr>
        <w:rFonts w:ascii="Wingdings" w:hAnsi="Wingdings" w:hint="default"/>
      </w:rPr>
    </w:lvl>
    <w:lvl w:ilvl="3" w:tplc="02BE9EF0" w:tentative="1">
      <w:start w:val="1"/>
      <w:numFmt w:val="bullet"/>
      <w:lvlText w:val=""/>
      <w:lvlJc w:val="left"/>
      <w:pPr>
        <w:tabs>
          <w:tab w:val="num" w:pos="2880"/>
        </w:tabs>
        <w:ind w:left="2880" w:hanging="360"/>
      </w:pPr>
      <w:rPr>
        <w:rFonts w:ascii="Symbol" w:hAnsi="Symbol" w:hint="default"/>
      </w:rPr>
    </w:lvl>
    <w:lvl w:ilvl="4" w:tplc="0B54F27C" w:tentative="1">
      <w:start w:val="1"/>
      <w:numFmt w:val="bullet"/>
      <w:lvlText w:val="o"/>
      <w:lvlJc w:val="left"/>
      <w:pPr>
        <w:tabs>
          <w:tab w:val="num" w:pos="3600"/>
        </w:tabs>
        <w:ind w:left="3600" w:hanging="360"/>
      </w:pPr>
      <w:rPr>
        <w:rFonts w:ascii="Courier New" w:hAnsi="Courier New" w:hint="default"/>
      </w:rPr>
    </w:lvl>
    <w:lvl w:ilvl="5" w:tplc="3AA65AE2" w:tentative="1">
      <w:start w:val="1"/>
      <w:numFmt w:val="bullet"/>
      <w:lvlText w:val=""/>
      <w:lvlJc w:val="left"/>
      <w:pPr>
        <w:tabs>
          <w:tab w:val="num" w:pos="4320"/>
        </w:tabs>
        <w:ind w:left="4320" w:hanging="360"/>
      </w:pPr>
      <w:rPr>
        <w:rFonts w:ascii="Wingdings" w:hAnsi="Wingdings" w:hint="default"/>
      </w:rPr>
    </w:lvl>
    <w:lvl w:ilvl="6" w:tplc="F992EFFC" w:tentative="1">
      <w:start w:val="1"/>
      <w:numFmt w:val="bullet"/>
      <w:lvlText w:val=""/>
      <w:lvlJc w:val="left"/>
      <w:pPr>
        <w:tabs>
          <w:tab w:val="num" w:pos="5040"/>
        </w:tabs>
        <w:ind w:left="5040" w:hanging="360"/>
      </w:pPr>
      <w:rPr>
        <w:rFonts w:ascii="Symbol" w:hAnsi="Symbol" w:hint="default"/>
      </w:rPr>
    </w:lvl>
    <w:lvl w:ilvl="7" w:tplc="1EEE0352" w:tentative="1">
      <w:start w:val="1"/>
      <w:numFmt w:val="bullet"/>
      <w:lvlText w:val="o"/>
      <w:lvlJc w:val="left"/>
      <w:pPr>
        <w:tabs>
          <w:tab w:val="num" w:pos="5760"/>
        </w:tabs>
        <w:ind w:left="5760" w:hanging="360"/>
      </w:pPr>
      <w:rPr>
        <w:rFonts w:ascii="Courier New" w:hAnsi="Courier New" w:hint="default"/>
      </w:rPr>
    </w:lvl>
    <w:lvl w:ilvl="8" w:tplc="D54EB25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4D3AA4"/>
    <w:multiLevelType w:val="hybridMultilevel"/>
    <w:tmpl w:val="C6868012"/>
    <w:lvl w:ilvl="0" w:tplc="EB6AD3BA">
      <w:start w:val="1"/>
      <w:numFmt w:val="bullet"/>
      <w:lvlText w:val=""/>
      <w:lvlJc w:val="left"/>
      <w:pPr>
        <w:tabs>
          <w:tab w:val="num" w:pos="1083"/>
        </w:tabs>
        <w:ind w:left="1083" w:hanging="363"/>
      </w:pPr>
      <w:rPr>
        <w:rFonts w:ascii="Symbol" w:hAnsi="Symbol" w:hint="default"/>
      </w:rPr>
    </w:lvl>
    <w:lvl w:ilvl="1" w:tplc="173CC7A6" w:tentative="1">
      <w:start w:val="1"/>
      <w:numFmt w:val="bullet"/>
      <w:lvlText w:val="o"/>
      <w:lvlJc w:val="left"/>
      <w:pPr>
        <w:tabs>
          <w:tab w:val="num" w:pos="2160"/>
        </w:tabs>
        <w:ind w:left="2160" w:hanging="360"/>
      </w:pPr>
      <w:rPr>
        <w:rFonts w:ascii="Courier New" w:hAnsi="Courier New" w:cs="Courier New" w:hint="default"/>
      </w:rPr>
    </w:lvl>
    <w:lvl w:ilvl="2" w:tplc="B5AC1A96" w:tentative="1">
      <w:start w:val="1"/>
      <w:numFmt w:val="bullet"/>
      <w:lvlText w:val=""/>
      <w:lvlJc w:val="left"/>
      <w:pPr>
        <w:tabs>
          <w:tab w:val="num" w:pos="2880"/>
        </w:tabs>
        <w:ind w:left="2880" w:hanging="360"/>
      </w:pPr>
      <w:rPr>
        <w:rFonts w:ascii="Wingdings" w:hAnsi="Wingdings" w:hint="default"/>
      </w:rPr>
    </w:lvl>
    <w:lvl w:ilvl="3" w:tplc="30CECB80" w:tentative="1">
      <w:start w:val="1"/>
      <w:numFmt w:val="bullet"/>
      <w:lvlText w:val=""/>
      <w:lvlJc w:val="left"/>
      <w:pPr>
        <w:tabs>
          <w:tab w:val="num" w:pos="3600"/>
        </w:tabs>
        <w:ind w:left="3600" w:hanging="360"/>
      </w:pPr>
      <w:rPr>
        <w:rFonts w:ascii="Symbol" w:hAnsi="Symbol" w:hint="default"/>
      </w:rPr>
    </w:lvl>
    <w:lvl w:ilvl="4" w:tplc="92101DD6" w:tentative="1">
      <w:start w:val="1"/>
      <w:numFmt w:val="bullet"/>
      <w:lvlText w:val="o"/>
      <w:lvlJc w:val="left"/>
      <w:pPr>
        <w:tabs>
          <w:tab w:val="num" w:pos="4320"/>
        </w:tabs>
        <w:ind w:left="4320" w:hanging="360"/>
      </w:pPr>
      <w:rPr>
        <w:rFonts w:ascii="Courier New" w:hAnsi="Courier New" w:cs="Courier New" w:hint="default"/>
      </w:rPr>
    </w:lvl>
    <w:lvl w:ilvl="5" w:tplc="0F8CCE16" w:tentative="1">
      <w:start w:val="1"/>
      <w:numFmt w:val="bullet"/>
      <w:lvlText w:val=""/>
      <w:lvlJc w:val="left"/>
      <w:pPr>
        <w:tabs>
          <w:tab w:val="num" w:pos="5040"/>
        </w:tabs>
        <w:ind w:left="5040" w:hanging="360"/>
      </w:pPr>
      <w:rPr>
        <w:rFonts w:ascii="Wingdings" w:hAnsi="Wingdings" w:hint="default"/>
      </w:rPr>
    </w:lvl>
    <w:lvl w:ilvl="6" w:tplc="BDE0B418" w:tentative="1">
      <w:start w:val="1"/>
      <w:numFmt w:val="bullet"/>
      <w:lvlText w:val=""/>
      <w:lvlJc w:val="left"/>
      <w:pPr>
        <w:tabs>
          <w:tab w:val="num" w:pos="5760"/>
        </w:tabs>
        <w:ind w:left="5760" w:hanging="360"/>
      </w:pPr>
      <w:rPr>
        <w:rFonts w:ascii="Symbol" w:hAnsi="Symbol" w:hint="default"/>
      </w:rPr>
    </w:lvl>
    <w:lvl w:ilvl="7" w:tplc="85440F8C" w:tentative="1">
      <w:start w:val="1"/>
      <w:numFmt w:val="bullet"/>
      <w:lvlText w:val="o"/>
      <w:lvlJc w:val="left"/>
      <w:pPr>
        <w:tabs>
          <w:tab w:val="num" w:pos="6480"/>
        </w:tabs>
        <w:ind w:left="6480" w:hanging="360"/>
      </w:pPr>
      <w:rPr>
        <w:rFonts w:ascii="Courier New" w:hAnsi="Courier New" w:cs="Courier New" w:hint="default"/>
      </w:rPr>
    </w:lvl>
    <w:lvl w:ilvl="8" w:tplc="B41ADD3C"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EB534BE"/>
    <w:multiLevelType w:val="hybridMultilevel"/>
    <w:tmpl w:val="9CACF68A"/>
    <w:lvl w:ilvl="0" w:tplc="9E48A152">
      <w:start w:val="1"/>
      <w:numFmt w:val="bullet"/>
      <w:lvlText w:val=""/>
      <w:lvlJc w:val="left"/>
      <w:pPr>
        <w:tabs>
          <w:tab w:val="num" w:pos="720"/>
        </w:tabs>
        <w:ind w:left="720" w:hanging="360"/>
      </w:pPr>
      <w:rPr>
        <w:rFonts w:ascii="Symbol" w:hAnsi="Symbol" w:hint="default"/>
        <w:b w:val="0"/>
      </w:rPr>
    </w:lvl>
    <w:lvl w:ilvl="1" w:tplc="756AC01E">
      <w:start w:val="2"/>
      <w:numFmt w:val="bullet"/>
      <w:lvlText w:val="-"/>
      <w:lvlJc w:val="left"/>
      <w:pPr>
        <w:tabs>
          <w:tab w:val="num" w:pos="1440"/>
        </w:tabs>
        <w:ind w:left="1440" w:hanging="360"/>
      </w:pPr>
      <w:rPr>
        <w:rFonts w:ascii="Times New Roman" w:eastAsia="Times New Roman" w:hAnsi="Times New Roman" w:hint="default"/>
      </w:rPr>
    </w:lvl>
    <w:lvl w:ilvl="2" w:tplc="C6D69320">
      <w:start w:val="1"/>
      <w:numFmt w:val="lowerRoman"/>
      <w:lvlText w:val="%3."/>
      <w:lvlJc w:val="right"/>
      <w:pPr>
        <w:tabs>
          <w:tab w:val="num" w:pos="2160"/>
        </w:tabs>
        <w:ind w:left="2160" w:hanging="180"/>
      </w:pPr>
      <w:rPr>
        <w:rFonts w:cs="Times New Roman"/>
        <w:i w:val="0"/>
      </w:rPr>
    </w:lvl>
    <w:lvl w:ilvl="3" w:tplc="9F74D7B8" w:tentative="1">
      <w:start w:val="1"/>
      <w:numFmt w:val="decimal"/>
      <w:lvlText w:val="%4."/>
      <w:lvlJc w:val="left"/>
      <w:pPr>
        <w:tabs>
          <w:tab w:val="num" w:pos="2880"/>
        </w:tabs>
        <w:ind w:left="2880" w:hanging="360"/>
      </w:pPr>
      <w:rPr>
        <w:rFonts w:cs="Times New Roman"/>
      </w:rPr>
    </w:lvl>
    <w:lvl w:ilvl="4" w:tplc="2E02887C" w:tentative="1">
      <w:start w:val="1"/>
      <w:numFmt w:val="lowerLetter"/>
      <w:lvlText w:val="%5."/>
      <w:lvlJc w:val="left"/>
      <w:pPr>
        <w:tabs>
          <w:tab w:val="num" w:pos="3600"/>
        </w:tabs>
        <w:ind w:left="3600" w:hanging="360"/>
      </w:pPr>
      <w:rPr>
        <w:rFonts w:cs="Times New Roman"/>
      </w:rPr>
    </w:lvl>
    <w:lvl w:ilvl="5" w:tplc="7716FD3E" w:tentative="1">
      <w:start w:val="1"/>
      <w:numFmt w:val="lowerRoman"/>
      <w:lvlText w:val="%6."/>
      <w:lvlJc w:val="right"/>
      <w:pPr>
        <w:tabs>
          <w:tab w:val="num" w:pos="4320"/>
        </w:tabs>
        <w:ind w:left="4320" w:hanging="180"/>
      </w:pPr>
      <w:rPr>
        <w:rFonts w:cs="Times New Roman"/>
      </w:rPr>
    </w:lvl>
    <w:lvl w:ilvl="6" w:tplc="DFB84384" w:tentative="1">
      <w:start w:val="1"/>
      <w:numFmt w:val="decimal"/>
      <w:lvlText w:val="%7."/>
      <w:lvlJc w:val="left"/>
      <w:pPr>
        <w:tabs>
          <w:tab w:val="num" w:pos="5040"/>
        </w:tabs>
        <w:ind w:left="5040" w:hanging="360"/>
      </w:pPr>
      <w:rPr>
        <w:rFonts w:cs="Times New Roman"/>
      </w:rPr>
    </w:lvl>
    <w:lvl w:ilvl="7" w:tplc="AD7E2B96" w:tentative="1">
      <w:start w:val="1"/>
      <w:numFmt w:val="lowerLetter"/>
      <w:lvlText w:val="%8."/>
      <w:lvlJc w:val="left"/>
      <w:pPr>
        <w:tabs>
          <w:tab w:val="num" w:pos="5760"/>
        </w:tabs>
        <w:ind w:left="5760" w:hanging="360"/>
      </w:pPr>
      <w:rPr>
        <w:rFonts w:cs="Times New Roman"/>
      </w:rPr>
    </w:lvl>
    <w:lvl w:ilvl="8" w:tplc="9E3AC8FE"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121768"/>
    <w:multiLevelType w:val="hybridMultilevel"/>
    <w:tmpl w:val="71AAFADE"/>
    <w:lvl w:ilvl="0" w:tplc="F5FE9C70">
      <w:start w:val="1"/>
      <w:numFmt w:val="lowerLetter"/>
      <w:lvlText w:val="%1)"/>
      <w:lvlJc w:val="left"/>
      <w:pPr>
        <w:ind w:left="720" w:hanging="360"/>
      </w:pPr>
      <w:rPr>
        <w:rFonts w:hint="default"/>
        <w:b w:val="0"/>
        <w:i w:val="0"/>
        <w:color w:val="0D0D0D" w:themeColor="text1" w:themeTint="F2"/>
      </w:rPr>
    </w:lvl>
    <w:lvl w:ilvl="1" w:tplc="00C61536">
      <w:start w:val="1"/>
      <w:numFmt w:val="bullet"/>
      <w:lvlText w:val=""/>
      <w:lvlJc w:val="left"/>
      <w:pPr>
        <w:ind w:left="1440" w:hanging="360"/>
      </w:pPr>
      <w:rPr>
        <w:rFonts w:ascii="Symbol" w:hAnsi="Symbol" w:hint="default"/>
      </w:rPr>
    </w:lvl>
    <w:lvl w:ilvl="2" w:tplc="21202D6A">
      <w:start w:val="1"/>
      <w:numFmt w:val="lowerRoman"/>
      <w:lvlText w:val="%3."/>
      <w:lvlJc w:val="right"/>
      <w:pPr>
        <w:ind w:left="2160" w:hanging="180"/>
      </w:pPr>
    </w:lvl>
    <w:lvl w:ilvl="3" w:tplc="AAE81F76">
      <w:start w:val="1"/>
      <w:numFmt w:val="lowerLetter"/>
      <w:lvlText w:val="%4."/>
      <w:lvlJc w:val="left"/>
      <w:pPr>
        <w:ind w:left="2880" w:hanging="360"/>
      </w:pPr>
      <w:rPr>
        <w:rFonts w:hint="default"/>
        <w:b/>
      </w:rPr>
    </w:lvl>
    <w:lvl w:ilvl="4" w:tplc="6ADAA45E" w:tentative="1">
      <w:start w:val="1"/>
      <w:numFmt w:val="lowerLetter"/>
      <w:lvlText w:val="%5."/>
      <w:lvlJc w:val="left"/>
      <w:pPr>
        <w:ind w:left="3600" w:hanging="360"/>
      </w:pPr>
    </w:lvl>
    <w:lvl w:ilvl="5" w:tplc="557AA54A" w:tentative="1">
      <w:start w:val="1"/>
      <w:numFmt w:val="lowerRoman"/>
      <w:lvlText w:val="%6."/>
      <w:lvlJc w:val="right"/>
      <w:pPr>
        <w:ind w:left="4320" w:hanging="180"/>
      </w:pPr>
    </w:lvl>
    <w:lvl w:ilvl="6" w:tplc="7FAEBD8A" w:tentative="1">
      <w:start w:val="1"/>
      <w:numFmt w:val="decimal"/>
      <w:lvlText w:val="%7."/>
      <w:lvlJc w:val="left"/>
      <w:pPr>
        <w:ind w:left="5040" w:hanging="360"/>
      </w:pPr>
    </w:lvl>
    <w:lvl w:ilvl="7" w:tplc="DB2CA4E8" w:tentative="1">
      <w:start w:val="1"/>
      <w:numFmt w:val="lowerLetter"/>
      <w:lvlText w:val="%8."/>
      <w:lvlJc w:val="left"/>
      <w:pPr>
        <w:ind w:left="5760" w:hanging="360"/>
      </w:pPr>
    </w:lvl>
    <w:lvl w:ilvl="8" w:tplc="F566DDCE" w:tentative="1">
      <w:start w:val="1"/>
      <w:numFmt w:val="lowerRoman"/>
      <w:lvlText w:val="%9."/>
      <w:lvlJc w:val="right"/>
      <w:pPr>
        <w:ind w:left="6480" w:hanging="180"/>
      </w:pPr>
    </w:lvl>
  </w:abstractNum>
  <w:abstractNum w:abstractNumId="19" w15:restartNumberingAfterBreak="0">
    <w:nsid w:val="20A3547C"/>
    <w:multiLevelType w:val="hybridMultilevel"/>
    <w:tmpl w:val="C080A010"/>
    <w:lvl w:ilvl="0" w:tplc="EB84CA06">
      <w:start w:val="1"/>
      <w:numFmt w:val="bullet"/>
      <w:lvlText w:val=""/>
      <w:lvlJc w:val="left"/>
      <w:pPr>
        <w:tabs>
          <w:tab w:val="num" w:pos="1080"/>
        </w:tabs>
        <w:ind w:left="1080" w:hanging="360"/>
      </w:pPr>
      <w:rPr>
        <w:rFonts w:ascii="Symbol" w:hAnsi="Symbol" w:hint="default"/>
      </w:rPr>
    </w:lvl>
    <w:lvl w:ilvl="1" w:tplc="CD6EA9A2">
      <w:start w:val="1"/>
      <w:numFmt w:val="bullet"/>
      <w:lvlText w:val="o"/>
      <w:lvlJc w:val="left"/>
      <w:pPr>
        <w:tabs>
          <w:tab w:val="num" w:pos="1800"/>
        </w:tabs>
        <w:ind w:left="1800" w:hanging="360"/>
      </w:pPr>
      <w:rPr>
        <w:rFonts w:ascii="Courier New" w:hAnsi="Courier New" w:cs="Courier New" w:hint="default"/>
      </w:rPr>
    </w:lvl>
    <w:lvl w:ilvl="2" w:tplc="3E8CF4B2">
      <w:start w:val="1"/>
      <w:numFmt w:val="bullet"/>
      <w:lvlText w:val=""/>
      <w:lvlJc w:val="left"/>
      <w:pPr>
        <w:tabs>
          <w:tab w:val="num" w:pos="2520"/>
        </w:tabs>
        <w:ind w:left="2520" w:hanging="360"/>
      </w:pPr>
      <w:rPr>
        <w:rFonts w:ascii="Wingdings" w:hAnsi="Wingdings" w:hint="default"/>
      </w:rPr>
    </w:lvl>
    <w:lvl w:ilvl="3" w:tplc="D1C28134">
      <w:start w:val="1"/>
      <w:numFmt w:val="bullet"/>
      <w:lvlText w:val=""/>
      <w:lvlJc w:val="left"/>
      <w:pPr>
        <w:tabs>
          <w:tab w:val="num" w:pos="3240"/>
        </w:tabs>
        <w:ind w:left="3240" w:hanging="360"/>
      </w:pPr>
      <w:rPr>
        <w:rFonts w:ascii="Symbol" w:hAnsi="Symbol" w:hint="default"/>
      </w:rPr>
    </w:lvl>
    <w:lvl w:ilvl="4" w:tplc="311097AA">
      <w:start w:val="1"/>
      <w:numFmt w:val="bullet"/>
      <w:lvlText w:val="o"/>
      <w:lvlJc w:val="left"/>
      <w:pPr>
        <w:tabs>
          <w:tab w:val="num" w:pos="3960"/>
        </w:tabs>
        <w:ind w:left="3960" w:hanging="360"/>
      </w:pPr>
      <w:rPr>
        <w:rFonts w:ascii="Courier New" w:hAnsi="Courier New" w:cs="Courier New" w:hint="default"/>
      </w:rPr>
    </w:lvl>
    <w:lvl w:ilvl="5" w:tplc="E5383C88">
      <w:start w:val="1"/>
      <w:numFmt w:val="bullet"/>
      <w:lvlText w:val=""/>
      <w:lvlJc w:val="left"/>
      <w:pPr>
        <w:tabs>
          <w:tab w:val="num" w:pos="4680"/>
        </w:tabs>
        <w:ind w:left="4680" w:hanging="360"/>
      </w:pPr>
      <w:rPr>
        <w:rFonts w:ascii="Wingdings" w:hAnsi="Wingdings" w:hint="default"/>
      </w:rPr>
    </w:lvl>
    <w:lvl w:ilvl="6" w:tplc="B68465FA">
      <w:start w:val="1"/>
      <w:numFmt w:val="bullet"/>
      <w:lvlText w:val=""/>
      <w:lvlJc w:val="left"/>
      <w:pPr>
        <w:tabs>
          <w:tab w:val="num" w:pos="5400"/>
        </w:tabs>
        <w:ind w:left="5400" w:hanging="360"/>
      </w:pPr>
      <w:rPr>
        <w:rFonts w:ascii="Symbol" w:hAnsi="Symbol" w:hint="default"/>
      </w:rPr>
    </w:lvl>
    <w:lvl w:ilvl="7" w:tplc="976EDFA4">
      <w:start w:val="1"/>
      <w:numFmt w:val="bullet"/>
      <w:lvlText w:val="o"/>
      <w:lvlJc w:val="left"/>
      <w:pPr>
        <w:tabs>
          <w:tab w:val="num" w:pos="6120"/>
        </w:tabs>
        <w:ind w:left="6120" w:hanging="360"/>
      </w:pPr>
      <w:rPr>
        <w:rFonts w:ascii="Courier New" w:hAnsi="Courier New" w:cs="Courier New" w:hint="default"/>
      </w:rPr>
    </w:lvl>
    <w:lvl w:ilvl="8" w:tplc="15D63B0E">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0B4423D"/>
    <w:multiLevelType w:val="hybridMultilevel"/>
    <w:tmpl w:val="030E86DA"/>
    <w:lvl w:ilvl="0" w:tplc="24DA4B9A">
      <w:start w:val="1"/>
      <w:numFmt w:val="bullet"/>
      <w:lvlText w:val=""/>
      <w:lvlJc w:val="left"/>
      <w:pPr>
        <w:ind w:left="720" w:hanging="360"/>
      </w:pPr>
      <w:rPr>
        <w:rFonts w:ascii="Symbol" w:hAnsi="Symbol" w:hint="default"/>
      </w:rPr>
    </w:lvl>
    <w:lvl w:ilvl="1" w:tplc="C936B0A0">
      <w:start w:val="1"/>
      <w:numFmt w:val="bullet"/>
      <w:lvlText w:val="o"/>
      <w:lvlJc w:val="left"/>
      <w:pPr>
        <w:ind w:left="1440" w:hanging="360"/>
      </w:pPr>
      <w:rPr>
        <w:rFonts w:ascii="Courier New" w:hAnsi="Courier New" w:cs="Courier New" w:hint="default"/>
      </w:rPr>
    </w:lvl>
    <w:lvl w:ilvl="2" w:tplc="788298F8" w:tentative="1">
      <w:start w:val="1"/>
      <w:numFmt w:val="bullet"/>
      <w:lvlText w:val=""/>
      <w:lvlJc w:val="left"/>
      <w:pPr>
        <w:ind w:left="2160" w:hanging="360"/>
      </w:pPr>
      <w:rPr>
        <w:rFonts w:ascii="Wingdings" w:hAnsi="Wingdings" w:hint="default"/>
      </w:rPr>
    </w:lvl>
    <w:lvl w:ilvl="3" w:tplc="EA987924" w:tentative="1">
      <w:start w:val="1"/>
      <w:numFmt w:val="bullet"/>
      <w:lvlText w:val=""/>
      <w:lvlJc w:val="left"/>
      <w:pPr>
        <w:ind w:left="2880" w:hanging="360"/>
      </w:pPr>
      <w:rPr>
        <w:rFonts w:ascii="Symbol" w:hAnsi="Symbol" w:hint="default"/>
      </w:rPr>
    </w:lvl>
    <w:lvl w:ilvl="4" w:tplc="BA5ABF16" w:tentative="1">
      <w:start w:val="1"/>
      <w:numFmt w:val="bullet"/>
      <w:lvlText w:val="o"/>
      <w:lvlJc w:val="left"/>
      <w:pPr>
        <w:ind w:left="3600" w:hanging="360"/>
      </w:pPr>
      <w:rPr>
        <w:rFonts w:ascii="Courier New" w:hAnsi="Courier New" w:cs="Courier New" w:hint="default"/>
      </w:rPr>
    </w:lvl>
    <w:lvl w:ilvl="5" w:tplc="537E9EBE" w:tentative="1">
      <w:start w:val="1"/>
      <w:numFmt w:val="bullet"/>
      <w:lvlText w:val=""/>
      <w:lvlJc w:val="left"/>
      <w:pPr>
        <w:ind w:left="4320" w:hanging="360"/>
      </w:pPr>
      <w:rPr>
        <w:rFonts w:ascii="Wingdings" w:hAnsi="Wingdings" w:hint="default"/>
      </w:rPr>
    </w:lvl>
    <w:lvl w:ilvl="6" w:tplc="48402728" w:tentative="1">
      <w:start w:val="1"/>
      <w:numFmt w:val="bullet"/>
      <w:lvlText w:val=""/>
      <w:lvlJc w:val="left"/>
      <w:pPr>
        <w:ind w:left="5040" w:hanging="360"/>
      </w:pPr>
      <w:rPr>
        <w:rFonts w:ascii="Symbol" w:hAnsi="Symbol" w:hint="default"/>
      </w:rPr>
    </w:lvl>
    <w:lvl w:ilvl="7" w:tplc="8C0E7950" w:tentative="1">
      <w:start w:val="1"/>
      <w:numFmt w:val="bullet"/>
      <w:lvlText w:val="o"/>
      <w:lvlJc w:val="left"/>
      <w:pPr>
        <w:ind w:left="5760" w:hanging="360"/>
      </w:pPr>
      <w:rPr>
        <w:rFonts w:ascii="Courier New" w:hAnsi="Courier New" w:cs="Courier New" w:hint="default"/>
      </w:rPr>
    </w:lvl>
    <w:lvl w:ilvl="8" w:tplc="55E24264" w:tentative="1">
      <w:start w:val="1"/>
      <w:numFmt w:val="bullet"/>
      <w:lvlText w:val=""/>
      <w:lvlJc w:val="left"/>
      <w:pPr>
        <w:ind w:left="6480" w:hanging="360"/>
      </w:pPr>
      <w:rPr>
        <w:rFonts w:ascii="Wingdings" w:hAnsi="Wingdings" w:hint="default"/>
      </w:rPr>
    </w:lvl>
  </w:abstractNum>
  <w:abstractNum w:abstractNumId="21" w15:restartNumberingAfterBreak="0">
    <w:nsid w:val="21DE7BAD"/>
    <w:multiLevelType w:val="hybridMultilevel"/>
    <w:tmpl w:val="D07CB172"/>
    <w:lvl w:ilvl="0" w:tplc="532AD304">
      <w:start w:val="1"/>
      <w:numFmt w:val="bullet"/>
      <w:lvlText w:val=""/>
      <w:lvlJc w:val="left"/>
      <w:pPr>
        <w:ind w:left="720" w:hanging="360"/>
      </w:pPr>
      <w:rPr>
        <w:rFonts w:ascii="Symbol" w:hAnsi="Symbol" w:hint="default"/>
      </w:rPr>
    </w:lvl>
    <w:lvl w:ilvl="1" w:tplc="E1DC5F34" w:tentative="1">
      <w:start w:val="1"/>
      <w:numFmt w:val="bullet"/>
      <w:lvlText w:val="o"/>
      <w:lvlJc w:val="left"/>
      <w:pPr>
        <w:ind w:left="1440" w:hanging="360"/>
      </w:pPr>
      <w:rPr>
        <w:rFonts w:ascii="Courier New" w:hAnsi="Courier New" w:cs="Courier New" w:hint="default"/>
      </w:rPr>
    </w:lvl>
    <w:lvl w:ilvl="2" w:tplc="E9EA3C32" w:tentative="1">
      <w:start w:val="1"/>
      <w:numFmt w:val="bullet"/>
      <w:lvlText w:val=""/>
      <w:lvlJc w:val="left"/>
      <w:pPr>
        <w:ind w:left="2160" w:hanging="360"/>
      </w:pPr>
      <w:rPr>
        <w:rFonts w:ascii="Wingdings" w:hAnsi="Wingdings" w:hint="default"/>
      </w:rPr>
    </w:lvl>
    <w:lvl w:ilvl="3" w:tplc="CB2A8386" w:tentative="1">
      <w:start w:val="1"/>
      <w:numFmt w:val="bullet"/>
      <w:lvlText w:val=""/>
      <w:lvlJc w:val="left"/>
      <w:pPr>
        <w:ind w:left="2880" w:hanging="360"/>
      </w:pPr>
      <w:rPr>
        <w:rFonts w:ascii="Symbol" w:hAnsi="Symbol" w:hint="default"/>
      </w:rPr>
    </w:lvl>
    <w:lvl w:ilvl="4" w:tplc="2D547E58" w:tentative="1">
      <w:start w:val="1"/>
      <w:numFmt w:val="bullet"/>
      <w:lvlText w:val="o"/>
      <w:lvlJc w:val="left"/>
      <w:pPr>
        <w:ind w:left="3600" w:hanging="360"/>
      </w:pPr>
      <w:rPr>
        <w:rFonts w:ascii="Courier New" w:hAnsi="Courier New" w:cs="Courier New" w:hint="default"/>
      </w:rPr>
    </w:lvl>
    <w:lvl w:ilvl="5" w:tplc="782E0ACC" w:tentative="1">
      <w:start w:val="1"/>
      <w:numFmt w:val="bullet"/>
      <w:lvlText w:val=""/>
      <w:lvlJc w:val="left"/>
      <w:pPr>
        <w:ind w:left="4320" w:hanging="360"/>
      </w:pPr>
      <w:rPr>
        <w:rFonts w:ascii="Wingdings" w:hAnsi="Wingdings" w:hint="default"/>
      </w:rPr>
    </w:lvl>
    <w:lvl w:ilvl="6" w:tplc="8F96DC30" w:tentative="1">
      <w:start w:val="1"/>
      <w:numFmt w:val="bullet"/>
      <w:lvlText w:val=""/>
      <w:lvlJc w:val="left"/>
      <w:pPr>
        <w:ind w:left="5040" w:hanging="360"/>
      </w:pPr>
      <w:rPr>
        <w:rFonts w:ascii="Symbol" w:hAnsi="Symbol" w:hint="default"/>
      </w:rPr>
    </w:lvl>
    <w:lvl w:ilvl="7" w:tplc="C11831E2" w:tentative="1">
      <w:start w:val="1"/>
      <w:numFmt w:val="bullet"/>
      <w:lvlText w:val="o"/>
      <w:lvlJc w:val="left"/>
      <w:pPr>
        <w:ind w:left="5760" w:hanging="360"/>
      </w:pPr>
      <w:rPr>
        <w:rFonts w:ascii="Courier New" w:hAnsi="Courier New" w:cs="Courier New" w:hint="default"/>
      </w:rPr>
    </w:lvl>
    <w:lvl w:ilvl="8" w:tplc="0040022A" w:tentative="1">
      <w:start w:val="1"/>
      <w:numFmt w:val="bullet"/>
      <w:lvlText w:val=""/>
      <w:lvlJc w:val="left"/>
      <w:pPr>
        <w:ind w:left="6480" w:hanging="360"/>
      </w:pPr>
      <w:rPr>
        <w:rFonts w:ascii="Wingdings" w:hAnsi="Wingdings" w:hint="default"/>
      </w:rPr>
    </w:lvl>
  </w:abstractNum>
  <w:abstractNum w:abstractNumId="22" w15:restartNumberingAfterBreak="0">
    <w:nsid w:val="229279C5"/>
    <w:multiLevelType w:val="hybridMultilevel"/>
    <w:tmpl w:val="B4548036"/>
    <w:lvl w:ilvl="0" w:tplc="602AA6C4">
      <w:start w:val="1"/>
      <w:numFmt w:val="bullet"/>
      <w:pStyle w:val="ListBullet"/>
      <w:lvlText w:val="•"/>
      <w:lvlJc w:val="left"/>
      <w:pPr>
        <w:tabs>
          <w:tab w:val="num" w:pos="360"/>
        </w:tabs>
        <w:ind w:left="360" w:hanging="360"/>
      </w:pPr>
      <w:rPr>
        <w:rFonts w:ascii="Arial" w:hAnsi="Arial" w:hint="default"/>
        <w:color w:val="43579B"/>
      </w:rPr>
    </w:lvl>
    <w:lvl w:ilvl="1" w:tplc="539CFE86">
      <w:start w:val="1"/>
      <w:numFmt w:val="bullet"/>
      <w:lvlText w:val="o"/>
      <w:lvlJc w:val="left"/>
      <w:pPr>
        <w:ind w:left="1440" w:hanging="360"/>
      </w:pPr>
      <w:rPr>
        <w:rFonts w:ascii="Courier New" w:hAnsi="Courier New" w:cs="Courier New" w:hint="default"/>
      </w:rPr>
    </w:lvl>
    <w:lvl w:ilvl="2" w:tplc="E50EC698" w:tentative="1">
      <w:start w:val="1"/>
      <w:numFmt w:val="bullet"/>
      <w:lvlText w:val=""/>
      <w:lvlJc w:val="left"/>
      <w:pPr>
        <w:ind w:left="2160" w:hanging="360"/>
      </w:pPr>
      <w:rPr>
        <w:rFonts w:ascii="Wingdings" w:hAnsi="Wingdings" w:hint="default"/>
      </w:rPr>
    </w:lvl>
    <w:lvl w:ilvl="3" w:tplc="657CD7D4" w:tentative="1">
      <w:start w:val="1"/>
      <w:numFmt w:val="bullet"/>
      <w:lvlText w:val=""/>
      <w:lvlJc w:val="left"/>
      <w:pPr>
        <w:ind w:left="2880" w:hanging="360"/>
      </w:pPr>
      <w:rPr>
        <w:rFonts w:ascii="Symbol" w:hAnsi="Symbol" w:hint="default"/>
      </w:rPr>
    </w:lvl>
    <w:lvl w:ilvl="4" w:tplc="95963680" w:tentative="1">
      <w:start w:val="1"/>
      <w:numFmt w:val="bullet"/>
      <w:lvlText w:val="o"/>
      <w:lvlJc w:val="left"/>
      <w:pPr>
        <w:ind w:left="3600" w:hanging="360"/>
      </w:pPr>
      <w:rPr>
        <w:rFonts w:ascii="Courier New" w:hAnsi="Courier New" w:cs="Courier New" w:hint="default"/>
      </w:rPr>
    </w:lvl>
    <w:lvl w:ilvl="5" w:tplc="160E9792" w:tentative="1">
      <w:start w:val="1"/>
      <w:numFmt w:val="bullet"/>
      <w:lvlText w:val=""/>
      <w:lvlJc w:val="left"/>
      <w:pPr>
        <w:ind w:left="4320" w:hanging="360"/>
      </w:pPr>
      <w:rPr>
        <w:rFonts w:ascii="Wingdings" w:hAnsi="Wingdings" w:hint="default"/>
      </w:rPr>
    </w:lvl>
    <w:lvl w:ilvl="6" w:tplc="6BD2E776" w:tentative="1">
      <w:start w:val="1"/>
      <w:numFmt w:val="bullet"/>
      <w:lvlText w:val=""/>
      <w:lvlJc w:val="left"/>
      <w:pPr>
        <w:ind w:left="5040" w:hanging="360"/>
      </w:pPr>
      <w:rPr>
        <w:rFonts w:ascii="Symbol" w:hAnsi="Symbol" w:hint="default"/>
      </w:rPr>
    </w:lvl>
    <w:lvl w:ilvl="7" w:tplc="365A7BBA" w:tentative="1">
      <w:start w:val="1"/>
      <w:numFmt w:val="bullet"/>
      <w:lvlText w:val="o"/>
      <w:lvlJc w:val="left"/>
      <w:pPr>
        <w:ind w:left="5760" w:hanging="360"/>
      </w:pPr>
      <w:rPr>
        <w:rFonts w:ascii="Courier New" w:hAnsi="Courier New" w:cs="Courier New" w:hint="default"/>
      </w:rPr>
    </w:lvl>
    <w:lvl w:ilvl="8" w:tplc="2C80A82A" w:tentative="1">
      <w:start w:val="1"/>
      <w:numFmt w:val="bullet"/>
      <w:lvlText w:val=""/>
      <w:lvlJc w:val="left"/>
      <w:pPr>
        <w:ind w:left="6480" w:hanging="360"/>
      </w:pPr>
      <w:rPr>
        <w:rFonts w:ascii="Wingdings" w:hAnsi="Wingdings" w:hint="default"/>
      </w:rPr>
    </w:lvl>
  </w:abstractNum>
  <w:abstractNum w:abstractNumId="23" w15:restartNumberingAfterBreak="0">
    <w:nsid w:val="28130BAF"/>
    <w:multiLevelType w:val="singleLevel"/>
    <w:tmpl w:val="F57EAE8C"/>
    <w:lvl w:ilvl="0">
      <w:numFmt w:val="decimal"/>
      <w:lvlText w:val="*"/>
      <w:lvlJc w:val="left"/>
      <w:rPr>
        <w:rFonts w:cs="Times New Roman"/>
      </w:rPr>
    </w:lvl>
  </w:abstractNum>
  <w:abstractNum w:abstractNumId="24" w15:restartNumberingAfterBreak="0">
    <w:nsid w:val="2CB83DBC"/>
    <w:multiLevelType w:val="hybridMultilevel"/>
    <w:tmpl w:val="520ACB22"/>
    <w:lvl w:ilvl="0" w:tplc="DA92A84C">
      <w:start w:val="1"/>
      <w:numFmt w:val="bullet"/>
      <w:lvlText w:val=""/>
      <w:lvlJc w:val="left"/>
      <w:pPr>
        <w:tabs>
          <w:tab w:val="num" w:pos="363"/>
        </w:tabs>
        <w:ind w:left="363" w:hanging="363"/>
      </w:pPr>
      <w:rPr>
        <w:rFonts w:ascii="Symbol" w:hAnsi="Symbol" w:hint="default"/>
      </w:rPr>
    </w:lvl>
    <w:lvl w:ilvl="1" w:tplc="0032C6A0">
      <w:start w:val="1"/>
      <w:numFmt w:val="bullet"/>
      <w:lvlText w:val="o"/>
      <w:lvlJc w:val="left"/>
      <w:pPr>
        <w:tabs>
          <w:tab w:val="num" w:pos="1440"/>
        </w:tabs>
        <w:ind w:left="1440" w:hanging="360"/>
      </w:pPr>
      <w:rPr>
        <w:rFonts w:ascii="Courier New" w:hAnsi="Courier New" w:cs="Courier New" w:hint="default"/>
      </w:rPr>
    </w:lvl>
    <w:lvl w:ilvl="2" w:tplc="9240270C" w:tentative="1">
      <w:start w:val="1"/>
      <w:numFmt w:val="bullet"/>
      <w:lvlText w:val=""/>
      <w:lvlJc w:val="left"/>
      <w:pPr>
        <w:tabs>
          <w:tab w:val="num" w:pos="2160"/>
        </w:tabs>
        <w:ind w:left="2160" w:hanging="360"/>
      </w:pPr>
      <w:rPr>
        <w:rFonts w:ascii="Wingdings" w:hAnsi="Wingdings" w:hint="default"/>
      </w:rPr>
    </w:lvl>
    <w:lvl w:ilvl="3" w:tplc="499A2D24" w:tentative="1">
      <w:start w:val="1"/>
      <w:numFmt w:val="bullet"/>
      <w:lvlText w:val=""/>
      <w:lvlJc w:val="left"/>
      <w:pPr>
        <w:tabs>
          <w:tab w:val="num" w:pos="2880"/>
        </w:tabs>
        <w:ind w:left="2880" w:hanging="360"/>
      </w:pPr>
      <w:rPr>
        <w:rFonts w:ascii="Symbol" w:hAnsi="Symbol" w:hint="default"/>
      </w:rPr>
    </w:lvl>
    <w:lvl w:ilvl="4" w:tplc="2ABA744C" w:tentative="1">
      <w:start w:val="1"/>
      <w:numFmt w:val="bullet"/>
      <w:lvlText w:val="o"/>
      <w:lvlJc w:val="left"/>
      <w:pPr>
        <w:tabs>
          <w:tab w:val="num" w:pos="3600"/>
        </w:tabs>
        <w:ind w:left="3600" w:hanging="360"/>
      </w:pPr>
      <w:rPr>
        <w:rFonts w:ascii="Courier New" w:hAnsi="Courier New" w:cs="Courier New" w:hint="default"/>
      </w:rPr>
    </w:lvl>
    <w:lvl w:ilvl="5" w:tplc="0FC422C8" w:tentative="1">
      <w:start w:val="1"/>
      <w:numFmt w:val="bullet"/>
      <w:lvlText w:val=""/>
      <w:lvlJc w:val="left"/>
      <w:pPr>
        <w:tabs>
          <w:tab w:val="num" w:pos="4320"/>
        </w:tabs>
        <w:ind w:left="4320" w:hanging="360"/>
      </w:pPr>
      <w:rPr>
        <w:rFonts w:ascii="Wingdings" w:hAnsi="Wingdings" w:hint="default"/>
      </w:rPr>
    </w:lvl>
    <w:lvl w:ilvl="6" w:tplc="B9BABCD4" w:tentative="1">
      <w:start w:val="1"/>
      <w:numFmt w:val="bullet"/>
      <w:lvlText w:val=""/>
      <w:lvlJc w:val="left"/>
      <w:pPr>
        <w:tabs>
          <w:tab w:val="num" w:pos="5040"/>
        </w:tabs>
        <w:ind w:left="5040" w:hanging="360"/>
      </w:pPr>
      <w:rPr>
        <w:rFonts w:ascii="Symbol" w:hAnsi="Symbol" w:hint="default"/>
      </w:rPr>
    </w:lvl>
    <w:lvl w:ilvl="7" w:tplc="944EE492" w:tentative="1">
      <w:start w:val="1"/>
      <w:numFmt w:val="bullet"/>
      <w:lvlText w:val="o"/>
      <w:lvlJc w:val="left"/>
      <w:pPr>
        <w:tabs>
          <w:tab w:val="num" w:pos="5760"/>
        </w:tabs>
        <w:ind w:left="5760" w:hanging="360"/>
      </w:pPr>
      <w:rPr>
        <w:rFonts w:ascii="Courier New" w:hAnsi="Courier New" w:cs="Courier New" w:hint="default"/>
      </w:rPr>
    </w:lvl>
    <w:lvl w:ilvl="8" w:tplc="6F3024E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5C57ED"/>
    <w:multiLevelType w:val="hybridMultilevel"/>
    <w:tmpl w:val="B600A624"/>
    <w:lvl w:ilvl="0" w:tplc="54525EDA">
      <w:start w:val="1"/>
      <w:numFmt w:val="bullet"/>
      <w:lvlText w:val=""/>
      <w:lvlJc w:val="left"/>
      <w:pPr>
        <w:ind w:left="720" w:hanging="360"/>
      </w:pPr>
      <w:rPr>
        <w:rFonts w:ascii="Symbol" w:hAnsi="Symbol" w:hint="default"/>
      </w:rPr>
    </w:lvl>
    <w:lvl w:ilvl="1" w:tplc="5314A0FE" w:tentative="1">
      <w:start w:val="1"/>
      <w:numFmt w:val="bullet"/>
      <w:lvlText w:val="o"/>
      <w:lvlJc w:val="left"/>
      <w:pPr>
        <w:ind w:left="1440" w:hanging="360"/>
      </w:pPr>
      <w:rPr>
        <w:rFonts w:ascii="Courier New" w:hAnsi="Courier New" w:cs="Courier New" w:hint="default"/>
      </w:rPr>
    </w:lvl>
    <w:lvl w:ilvl="2" w:tplc="C94AD7D6" w:tentative="1">
      <w:start w:val="1"/>
      <w:numFmt w:val="bullet"/>
      <w:lvlText w:val=""/>
      <w:lvlJc w:val="left"/>
      <w:pPr>
        <w:ind w:left="2160" w:hanging="360"/>
      </w:pPr>
      <w:rPr>
        <w:rFonts w:ascii="Wingdings" w:hAnsi="Wingdings" w:hint="default"/>
      </w:rPr>
    </w:lvl>
    <w:lvl w:ilvl="3" w:tplc="A7E44BBE" w:tentative="1">
      <w:start w:val="1"/>
      <w:numFmt w:val="bullet"/>
      <w:lvlText w:val=""/>
      <w:lvlJc w:val="left"/>
      <w:pPr>
        <w:ind w:left="2880" w:hanging="360"/>
      </w:pPr>
      <w:rPr>
        <w:rFonts w:ascii="Symbol" w:hAnsi="Symbol" w:hint="default"/>
      </w:rPr>
    </w:lvl>
    <w:lvl w:ilvl="4" w:tplc="24449E7C" w:tentative="1">
      <w:start w:val="1"/>
      <w:numFmt w:val="bullet"/>
      <w:lvlText w:val="o"/>
      <w:lvlJc w:val="left"/>
      <w:pPr>
        <w:ind w:left="3600" w:hanging="360"/>
      </w:pPr>
      <w:rPr>
        <w:rFonts w:ascii="Courier New" w:hAnsi="Courier New" w:cs="Courier New" w:hint="default"/>
      </w:rPr>
    </w:lvl>
    <w:lvl w:ilvl="5" w:tplc="93EC6F76" w:tentative="1">
      <w:start w:val="1"/>
      <w:numFmt w:val="bullet"/>
      <w:lvlText w:val=""/>
      <w:lvlJc w:val="left"/>
      <w:pPr>
        <w:ind w:left="4320" w:hanging="360"/>
      </w:pPr>
      <w:rPr>
        <w:rFonts w:ascii="Wingdings" w:hAnsi="Wingdings" w:hint="default"/>
      </w:rPr>
    </w:lvl>
    <w:lvl w:ilvl="6" w:tplc="666C92C4" w:tentative="1">
      <w:start w:val="1"/>
      <w:numFmt w:val="bullet"/>
      <w:lvlText w:val=""/>
      <w:lvlJc w:val="left"/>
      <w:pPr>
        <w:ind w:left="5040" w:hanging="360"/>
      </w:pPr>
      <w:rPr>
        <w:rFonts w:ascii="Symbol" w:hAnsi="Symbol" w:hint="default"/>
      </w:rPr>
    </w:lvl>
    <w:lvl w:ilvl="7" w:tplc="002CCE70" w:tentative="1">
      <w:start w:val="1"/>
      <w:numFmt w:val="bullet"/>
      <w:lvlText w:val="o"/>
      <w:lvlJc w:val="left"/>
      <w:pPr>
        <w:ind w:left="5760" w:hanging="360"/>
      </w:pPr>
      <w:rPr>
        <w:rFonts w:ascii="Courier New" w:hAnsi="Courier New" w:cs="Courier New" w:hint="default"/>
      </w:rPr>
    </w:lvl>
    <w:lvl w:ilvl="8" w:tplc="17126650" w:tentative="1">
      <w:start w:val="1"/>
      <w:numFmt w:val="bullet"/>
      <w:lvlText w:val=""/>
      <w:lvlJc w:val="left"/>
      <w:pPr>
        <w:ind w:left="6480" w:hanging="360"/>
      </w:pPr>
      <w:rPr>
        <w:rFonts w:ascii="Wingdings" w:hAnsi="Wingdings" w:hint="default"/>
      </w:rPr>
    </w:lvl>
  </w:abstractNum>
  <w:abstractNum w:abstractNumId="26" w15:restartNumberingAfterBreak="0">
    <w:nsid w:val="2DC0607D"/>
    <w:multiLevelType w:val="hybridMultilevel"/>
    <w:tmpl w:val="E9527F8C"/>
    <w:lvl w:ilvl="0" w:tplc="38EE820E">
      <w:start w:val="1"/>
      <w:numFmt w:val="bullet"/>
      <w:lvlText w:val=""/>
      <w:lvlJc w:val="left"/>
      <w:pPr>
        <w:tabs>
          <w:tab w:val="num" w:pos="900"/>
        </w:tabs>
        <w:ind w:left="900" w:hanging="360"/>
      </w:pPr>
      <w:rPr>
        <w:rFonts w:ascii="Symbol" w:hAnsi="Symbol" w:hint="default"/>
        <w:sz w:val="22"/>
      </w:rPr>
    </w:lvl>
    <w:lvl w:ilvl="1" w:tplc="E4D437B4">
      <w:start w:val="1"/>
      <w:numFmt w:val="bullet"/>
      <w:lvlText w:val="o"/>
      <w:lvlJc w:val="left"/>
      <w:pPr>
        <w:tabs>
          <w:tab w:val="num" w:pos="360"/>
        </w:tabs>
        <w:ind w:left="360" w:hanging="360"/>
      </w:pPr>
      <w:rPr>
        <w:rFonts w:ascii="Courier New" w:hAnsi="Courier New" w:hint="default"/>
      </w:rPr>
    </w:lvl>
    <w:lvl w:ilvl="2" w:tplc="8752BAE2">
      <w:start w:val="1"/>
      <w:numFmt w:val="bullet"/>
      <w:lvlText w:val=""/>
      <w:lvlJc w:val="left"/>
      <w:pPr>
        <w:tabs>
          <w:tab w:val="num" w:pos="1080"/>
        </w:tabs>
        <w:ind w:left="1080" w:hanging="360"/>
      </w:pPr>
      <w:rPr>
        <w:rFonts w:ascii="Wingdings" w:hAnsi="Wingdings" w:hint="default"/>
      </w:rPr>
    </w:lvl>
    <w:lvl w:ilvl="3" w:tplc="E042F816" w:tentative="1">
      <w:start w:val="1"/>
      <w:numFmt w:val="bullet"/>
      <w:lvlText w:val=""/>
      <w:lvlJc w:val="left"/>
      <w:pPr>
        <w:tabs>
          <w:tab w:val="num" w:pos="1800"/>
        </w:tabs>
        <w:ind w:left="1800" w:hanging="360"/>
      </w:pPr>
      <w:rPr>
        <w:rFonts w:ascii="Symbol" w:hAnsi="Symbol" w:hint="default"/>
      </w:rPr>
    </w:lvl>
    <w:lvl w:ilvl="4" w:tplc="F2D81150" w:tentative="1">
      <w:start w:val="1"/>
      <w:numFmt w:val="bullet"/>
      <w:lvlText w:val="o"/>
      <w:lvlJc w:val="left"/>
      <w:pPr>
        <w:tabs>
          <w:tab w:val="num" w:pos="2520"/>
        </w:tabs>
        <w:ind w:left="2520" w:hanging="360"/>
      </w:pPr>
      <w:rPr>
        <w:rFonts w:ascii="Courier New" w:hAnsi="Courier New" w:hint="default"/>
      </w:rPr>
    </w:lvl>
    <w:lvl w:ilvl="5" w:tplc="AD48269C" w:tentative="1">
      <w:start w:val="1"/>
      <w:numFmt w:val="bullet"/>
      <w:lvlText w:val=""/>
      <w:lvlJc w:val="left"/>
      <w:pPr>
        <w:tabs>
          <w:tab w:val="num" w:pos="3240"/>
        </w:tabs>
        <w:ind w:left="3240" w:hanging="360"/>
      </w:pPr>
      <w:rPr>
        <w:rFonts w:ascii="Wingdings" w:hAnsi="Wingdings" w:hint="default"/>
      </w:rPr>
    </w:lvl>
    <w:lvl w:ilvl="6" w:tplc="90BABF62" w:tentative="1">
      <w:start w:val="1"/>
      <w:numFmt w:val="bullet"/>
      <w:lvlText w:val=""/>
      <w:lvlJc w:val="left"/>
      <w:pPr>
        <w:tabs>
          <w:tab w:val="num" w:pos="3960"/>
        </w:tabs>
        <w:ind w:left="3960" w:hanging="360"/>
      </w:pPr>
      <w:rPr>
        <w:rFonts w:ascii="Symbol" w:hAnsi="Symbol" w:hint="default"/>
      </w:rPr>
    </w:lvl>
    <w:lvl w:ilvl="7" w:tplc="8D5EC59C" w:tentative="1">
      <w:start w:val="1"/>
      <w:numFmt w:val="bullet"/>
      <w:lvlText w:val="o"/>
      <w:lvlJc w:val="left"/>
      <w:pPr>
        <w:tabs>
          <w:tab w:val="num" w:pos="4680"/>
        </w:tabs>
        <w:ind w:left="4680" w:hanging="360"/>
      </w:pPr>
      <w:rPr>
        <w:rFonts w:ascii="Courier New" w:hAnsi="Courier New" w:hint="default"/>
      </w:rPr>
    </w:lvl>
    <w:lvl w:ilvl="8" w:tplc="6C38F8DC"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2F341C1E"/>
    <w:multiLevelType w:val="hybridMultilevel"/>
    <w:tmpl w:val="AE823D5C"/>
    <w:lvl w:ilvl="0" w:tplc="39667D7A">
      <w:start w:val="1"/>
      <w:numFmt w:val="bullet"/>
      <w:lvlText w:val=""/>
      <w:lvlJc w:val="left"/>
      <w:pPr>
        <w:ind w:left="720" w:hanging="360"/>
      </w:pPr>
      <w:rPr>
        <w:rFonts w:ascii="Symbol" w:hAnsi="Symbol" w:hint="default"/>
      </w:rPr>
    </w:lvl>
    <w:lvl w:ilvl="1" w:tplc="20607B60" w:tentative="1">
      <w:start w:val="1"/>
      <w:numFmt w:val="bullet"/>
      <w:lvlText w:val="o"/>
      <w:lvlJc w:val="left"/>
      <w:pPr>
        <w:ind w:left="1440" w:hanging="360"/>
      </w:pPr>
      <w:rPr>
        <w:rFonts w:ascii="Courier New" w:hAnsi="Courier New" w:cs="Courier New" w:hint="default"/>
      </w:rPr>
    </w:lvl>
    <w:lvl w:ilvl="2" w:tplc="A6F8FA44" w:tentative="1">
      <w:start w:val="1"/>
      <w:numFmt w:val="bullet"/>
      <w:lvlText w:val=""/>
      <w:lvlJc w:val="left"/>
      <w:pPr>
        <w:ind w:left="2160" w:hanging="360"/>
      </w:pPr>
      <w:rPr>
        <w:rFonts w:ascii="Wingdings" w:hAnsi="Wingdings" w:hint="default"/>
      </w:rPr>
    </w:lvl>
    <w:lvl w:ilvl="3" w:tplc="CA86EB90" w:tentative="1">
      <w:start w:val="1"/>
      <w:numFmt w:val="bullet"/>
      <w:lvlText w:val=""/>
      <w:lvlJc w:val="left"/>
      <w:pPr>
        <w:ind w:left="2880" w:hanging="360"/>
      </w:pPr>
      <w:rPr>
        <w:rFonts w:ascii="Symbol" w:hAnsi="Symbol" w:hint="default"/>
      </w:rPr>
    </w:lvl>
    <w:lvl w:ilvl="4" w:tplc="7AD81AF0" w:tentative="1">
      <w:start w:val="1"/>
      <w:numFmt w:val="bullet"/>
      <w:lvlText w:val="o"/>
      <w:lvlJc w:val="left"/>
      <w:pPr>
        <w:ind w:left="3600" w:hanging="360"/>
      </w:pPr>
      <w:rPr>
        <w:rFonts w:ascii="Courier New" w:hAnsi="Courier New" w:cs="Courier New" w:hint="default"/>
      </w:rPr>
    </w:lvl>
    <w:lvl w:ilvl="5" w:tplc="ECDC385E" w:tentative="1">
      <w:start w:val="1"/>
      <w:numFmt w:val="bullet"/>
      <w:lvlText w:val=""/>
      <w:lvlJc w:val="left"/>
      <w:pPr>
        <w:ind w:left="4320" w:hanging="360"/>
      </w:pPr>
      <w:rPr>
        <w:rFonts w:ascii="Wingdings" w:hAnsi="Wingdings" w:hint="default"/>
      </w:rPr>
    </w:lvl>
    <w:lvl w:ilvl="6" w:tplc="CFD00F92" w:tentative="1">
      <w:start w:val="1"/>
      <w:numFmt w:val="bullet"/>
      <w:lvlText w:val=""/>
      <w:lvlJc w:val="left"/>
      <w:pPr>
        <w:ind w:left="5040" w:hanging="360"/>
      </w:pPr>
      <w:rPr>
        <w:rFonts w:ascii="Symbol" w:hAnsi="Symbol" w:hint="default"/>
      </w:rPr>
    </w:lvl>
    <w:lvl w:ilvl="7" w:tplc="AC84BBBC" w:tentative="1">
      <w:start w:val="1"/>
      <w:numFmt w:val="bullet"/>
      <w:lvlText w:val="o"/>
      <w:lvlJc w:val="left"/>
      <w:pPr>
        <w:ind w:left="5760" w:hanging="360"/>
      </w:pPr>
      <w:rPr>
        <w:rFonts w:ascii="Courier New" w:hAnsi="Courier New" w:cs="Courier New" w:hint="default"/>
      </w:rPr>
    </w:lvl>
    <w:lvl w:ilvl="8" w:tplc="B1BE52A6" w:tentative="1">
      <w:start w:val="1"/>
      <w:numFmt w:val="bullet"/>
      <w:lvlText w:val=""/>
      <w:lvlJc w:val="left"/>
      <w:pPr>
        <w:ind w:left="6480" w:hanging="360"/>
      </w:pPr>
      <w:rPr>
        <w:rFonts w:ascii="Wingdings" w:hAnsi="Wingdings" w:hint="default"/>
      </w:rPr>
    </w:lvl>
  </w:abstractNum>
  <w:abstractNum w:abstractNumId="28" w15:restartNumberingAfterBreak="0">
    <w:nsid w:val="2F811B0E"/>
    <w:multiLevelType w:val="hybridMultilevel"/>
    <w:tmpl w:val="AB9C23B0"/>
    <w:lvl w:ilvl="0" w:tplc="39A82F02">
      <w:start w:val="1"/>
      <w:numFmt w:val="bullet"/>
      <w:lvlText w:val=""/>
      <w:lvlJc w:val="left"/>
      <w:pPr>
        <w:tabs>
          <w:tab w:val="num" w:pos="720"/>
        </w:tabs>
        <w:ind w:left="720" w:hanging="360"/>
      </w:pPr>
      <w:rPr>
        <w:rFonts w:ascii="Symbol" w:hAnsi="Symbol" w:hint="default"/>
        <w:sz w:val="18"/>
      </w:rPr>
    </w:lvl>
    <w:lvl w:ilvl="1" w:tplc="E18A0686">
      <w:start w:val="1"/>
      <w:numFmt w:val="bullet"/>
      <w:lvlText w:val="o"/>
      <w:lvlJc w:val="left"/>
      <w:pPr>
        <w:tabs>
          <w:tab w:val="num" w:pos="1440"/>
        </w:tabs>
        <w:ind w:left="1440" w:hanging="360"/>
      </w:pPr>
      <w:rPr>
        <w:rFonts w:ascii="Courier New" w:hAnsi="Courier New" w:hint="default"/>
      </w:rPr>
    </w:lvl>
    <w:lvl w:ilvl="2" w:tplc="C2B40CE2" w:tentative="1">
      <w:start w:val="1"/>
      <w:numFmt w:val="bullet"/>
      <w:lvlText w:val=""/>
      <w:lvlJc w:val="left"/>
      <w:pPr>
        <w:tabs>
          <w:tab w:val="num" w:pos="2160"/>
        </w:tabs>
        <w:ind w:left="2160" w:hanging="360"/>
      </w:pPr>
      <w:rPr>
        <w:rFonts w:ascii="Wingdings" w:hAnsi="Wingdings" w:hint="default"/>
      </w:rPr>
    </w:lvl>
    <w:lvl w:ilvl="3" w:tplc="BDA04A46" w:tentative="1">
      <w:start w:val="1"/>
      <w:numFmt w:val="bullet"/>
      <w:lvlText w:val=""/>
      <w:lvlJc w:val="left"/>
      <w:pPr>
        <w:tabs>
          <w:tab w:val="num" w:pos="2880"/>
        </w:tabs>
        <w:ind w:left="2880" w:hanging="360"/>
      </w:pPr>
      <w:rPr>
        <w:rFonts w:ascii="Symbol" w:hAnsi="Symbol" w:hint="default"/>
      </w:rPr>
    </w:lvl>
    <w:lvl w:ilvl="4" w:tplc="D54A2314" w:tentative="1">
      <w:start w:val="1"/>
      <w:numFmt w:val="bullet"/>
      <w:lvlText w:val="o"/>
      <w:lvlJc w:val="left"/>
      <w:pPr>
        <w:tabs>
          <w:tab w:val="num" w:pos="3600"/>
        </w:tabs>
        <w:ind w:left="3600" w:hanging="360"/>
      </w:pPr>
      <w:rPr>
        <w:rFonts w:ascii="Courier New" w:hAnsi="Courier New" w:hint="default"/>
      </w:rPr>
    </w:lvl>
    <w:lvl w:ilvl="5" w:tplc="0002926A" w:tentative="1">
      <w:start w:val="1"/>
      <w:numFmt w:val="bullet"/>
      <w:lvlText w:val=""/>
      <w:lvlJc w:val="left"/>
      <w:pPr>
        <w:tabs>
          <w:tab w:val="num" w:pos="4320"/>
        </w:tabs>
        <w:ind w:left="4320" w:hanging="360"/>
      </w:pPr>
      <w:rPr>
        <w:rFonts w:ascii="Wingdings" w:hAnsi="Wingdings" w:hint="default"/>
      </w:rPr>
    </w:lvl>
    <w:lvl w:ilvl="6" w:tplc="6E2CEE74" w:tentative="1">
      <w:start w:val="1"/>
      <w:numFmt w:val="bullet"/>
      <w:lvlText w:val=""/>
      <w:lvlJc w:val="left"/>
      <w:pPr>
        <w:tabs>
          <w:tab w:val="num" w:pos="5040"/>
        </w:tabs>
        <w:ind w:left="5040" w:hanging="360"/>
      </w:pPr>
      <w:rPr>
        <w:rFonts w:ascii="Symbol" w:hAnsi="Symbol" w:hint="default"/>
      </w:rPr>
    </w:lvl>
    <w:lvl w:ilvl="7" w:tplc="824031F8" w:tentative="1">
      <w:start w:val="1"/>
      <w:numFmt w:val="bullet"/>
      <w:lvlText w:val="o"/>
      <w:lvlJc w:val="left"/>
      <w:pPr>
        <w:tabs>
          <w:tab w:val="num" w:pos="5760"/>
        </w:tabs>
        <w:ind w:left="5760" w:hanging="360"/>
      </w:pPr>
      <w:rPr>
        <w:rFonts w:ascii="Courier New" w:hAnsi="Courier New" w:hint="default"/>
      </w:rPr>
    </w:lvl>
    <w:lvl w:ilvl="8" w:tplc="8194738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34820DD"/>
    <w:multiLevelType w:val="hybridMultilevel"/>
    <w:tmpl w:val="C69AAAEE"/>
    <w:lvl w:ilvl="0" w:tplc="1AB61AE2">
      <w:start w:val="1"/>
      <w:numFmt w:val="lowerLetter"/>
      <w:lvlText w:val="%1)"/>
      <w:lvlJc w:val="left"/>
      <w:pPr>
        <w:tabs>
          <w:tab w:val="num" w:pos="720"/>
        </w:tabs>
        <w:ind w:left="720" w:hanging="360"/>
      </w:pPr>
    </w:lvl>
    <w:lvl w:ilvl="1" w:tplc="D9CAADDE">
      <w:start w:val="1"/>
      <w:numFmt w:val="lowerLetter"/>
      <w:lvlText w:val="%2."/>
      <w:lvlJc w:val="left"/>
      <w:pPr>
        <w:tabs>
          <w:tab w:val="num" w:pos="1440"/>
        </w:tabs>
        <w:ind w:left="1440" w:hanging="360"/>
      </w:pPr>
    </w:lvl>
    <w:lvl w:ilvl="2" w:tplc="8A766B7E">
      <w:start w:val="1"/>
      <w:numFmt w:val="lowerRoman"/>
      <w:lvlText w:val="%3."/>
      <w:lvlJc w:val="right"/>
      <w:pPr>
        <w:tabs>
          <w:tab w:val="num" w:pos="2160"/>
        </w:tabs>
        <w:ind w:left="2160" w:hanging="180"/>
      </w:pPr>
    </w:lvl>
    <w:lvl w:ilvl="3" w:tplc="19E241A4">
      <w:start w:val="1"/>
      <w:numFmt w:val="decimal"/>
      <w:lvlText w:val="%4."/>
      <w:lvlJc w:val="left"/>
      <w:pPr>
        <w:tabs>
          <w:tab w:val="num" w:pos="2880"/>
        </w:tabs>
        <w:ind w:left="2880" w:hanging="360"/>
      </w:pPr>
    </w:lvl>
    <w:lvl w:ilvl="4" w:tplc="AA0AB5CE">
      <w:start w:val="1"/>
      <w:numFmt w:val="lowerLetter"/>
      <w:lvlText w:val="%5."/>
      <w:lvlJc w:val="left"/>
      <w:pPr>
        <w:tabs>
          <w:tab w:val="num" w:pos="3600"/>
        </w:tabs>
        <w:ind w:left="3600" w:hanging="360"/>
      </w:pPr>
    </w:lvl>
    <w:lvl w:ilvl="5" w:tplc="4404A848">
      <w:start w:val="1"/>
      <w:numFmt w:val="lowerRoman"/>
      <w:lvlText w:val="%6."/>
      <w:lvlJc w:val="right"/>
      <w:pPr>
        <w:tabs>
          <w:tab w:val="num" w:pos="4320"/>
        </w:tabs>
        <w:ind w:left="4320" w:hanging="180"/>
      </w:pPr>
    </w:lvl>
    <w:lvl w:ilvl="6" w:tplc="55F061A2">
      <w:start w:val="1"/>
      <w:numFmt w:val="decimal"/>
      <w:lvlText w:val="%7."/>
      <w:lvlJc w:val="left"/>
      <w:pPr>
        <w:tabs>
          <w:tab w:val="num" w:pos="5040"/>
        </w:tabs>
        <w:ind w:left="5040" w:hanging="360"/>
      </w:pPr>
    </w:lvl>
    <w:lvl w:ilvl="7" w:tplc="D9E610AA">
      <w:start w:val="1"/>
      <w:numFmt w:val="lowerLetter"/>
      <w:lvlText w:val="%8."/>
      <w:lvlJc w:val="left"/>
      <w:pPr>
        <w:tabs>
          <w:tab w:val="num" w:pos="5760"/>
        </w:tabs>
        <w:ind w:left="5760" w:hanging="360"/>
      </w:pPr>
    </w:lvl>
    <w:lvl w:ilvl="8" w:tplc="BF06EABA">
      <w:start w:val="1"/>
      <w:numFmt w:val="lowerRoman"/>
      <w:lvlText w:val="%9."/>
      <w:lvlJc w:val="right"/>
      <w:pPr>
        <w:tabs>
          <w:tab w:val="num" w:pos="6480"/>
        </w:tabs>
        <w:ind w:left="6480" w:hanging="180"/>
      </w:pPr>
    </w:lvl>
  </w:abstractNum>
  <w:abstractNum w:abstractNumId="30" w15:restartNumberingAfterBreak="0">
    <w:nsid w:val="36D41096"/>
    <w:multiLevelType w:val="hybridMultilevel"/>
    <w:tmpl w:val="EBC21F2E"/>
    <w:lvl w:ilvl="0" w:tplc="C07A8462">
      <w:start w:val="1"/>
      <w:numFmt w:val="bullet"/>
      <w:lvlText w:val=""/>
      <w:lvlJc w:val="left"/>
      <w:pPr>
        <w:ind w:left="720" w:hanging="360"/>
      </w:pPr>
      <w:rPr>
        <w:rFonts w:ascii="Symbol" w:hAnsi="Symbol" w:hint="default"/>
      </w:rPr>
    </w:lvl>
    <w:lvl w:ilvl="1" w:tplc="207E033C">
      <w:start w:val="1"/>
      <w:numFmt w:val="bullet"/>
      <w:lvlText w:val="o"/>
      <w:lvlJc w:val="left"/>
      <w:pPr>
        <w:ind w:left="1440" w:hanging="360"/>
      </w:pPr>
      <w:rPr>
        <w:rFonts w:ascii="Courier New" w:hAnsi="Courier New" w:cs="Courier New" w:hint="default"/>
      </w:rPr>
    </w:lvl>
    <w:lvl w:ilvl="2" w:tplc="7504875E">
      <w:start w:val="1"/>
      <w:numFmt w:val="bullet"/>
      <w:lvlText w:val=""/>
      <w:lvlJc w:val="left"/>
      <w:pPr>
        <w:ind w:left="2160" w:hanging="360"/>
      </w:pPr>
      <w:rPr>
        <w:rFonts w:ascii="Wingdings" w:hAnsi="Wingdings" w:hint="default"/>
      </w:rPr>
    </w:lvl>
    <w:lvl w:ilvl="3" w:tplc="B08C5F88" w:tentative="1">
      <w:start w:val="1"/>
      <w:numFmt w:val="bullet"/>
      <w:lvlText w:val=""/>
      <w:lvlJc w:val="left"/>
      <w:pPr>
        <w:ind w:left="2880" w:hanging="360"/>
      </w:pPr>
      <w:rPr>
        <w:rFonts w:ascii="Symbol" w:hAnsi="Symbol" w:hint="default"/>
      </w:rPr>
    </w:lvl>
    <w:lvl w:ilvl="4" w:tplc="80720114" w:tentative="1">
      <w:start w:val="1"/>
      <w:numFmt w:val="bullet"/>
      <w:lvlText w:val="o"/>
      <w:lvlJc w:val="left"/>
      <w:pPr>
        <w:ind w:left="3600" w:hanging="360"/>
      </w:pPr>
      <w:rPr>
        <w:rFonts w:ascii="Courier New" w:hAnsi="Courier New" w:cs="Courier New" w:hint="default"/>
      </w:rPr>
    </w:lvl>
    <w:lvl w:ilvl="5" w:tplc="C20035C4" w:tentative="1">
      <w:start w:val="1"/>
      <w:numFmt w:val="bullet"/>
      <w:lvlText w:val=""/>
      <w:lvlJc w:val="left"/>
      <w:pPr>
        <w:ind w:left="4320" w:hanging="360"/>
      </w:pPr>
      <w:rPr>
        <w:rFonts w:ascii="Wingdings" w:hAnsi="Wingdings" w:hint="default"/>
      </w:rPr>
    </w:lvl>
    <w:lvl w:ilvl="6" w:tplc="2026A044" w:tentative="1">
      <w:start w:val="1"/>
      <w:numFmt w:val="bullet"/>
      <w:lvlText w:val=""/>
      <w:lvlJc w:val="left"/>
      <w:pPr>
        <w:ind w:left="5040" w:hanging="360"/>
      </w:pPr>
      <w:rPr>
        <w:rFonts w:ascii="Symbol" w:hAnsi="Symbol" w:hint="default"/>
      </w:rPr>
    </w:lvl>
    <w:lvl w:ilvl="7" w:tplc="ECFE5B6A" w:tentative="1">
      <w:start w:val="1"/>
      <w:numFmt w:val="bullet"/>
      <w:lvlText w:val="o"/>
      <w:lvlJc w:val="left"/>
      <w:pPr>
        <w:ind w:left="5760" w:hanging="360"/>
      </w:pPr>
      <w:rPr>
        <w:rFonts w:ascii="Courier New" w:hAnsi="Courier New" w:cs="Courier New" w:hint="default"/>
      </w:rPr>
    </w:lvl>
    <w:lvl w:ilvl="8" w:tplc="5E8C7A24" w:tentative="1">
      <w:start w:val="1"/>
      <w:numFmt w:val="bullet"/>
      <w:lvlText w:val=""/>
      <w:lvlJc w:val="left"/>
      <w:pPr>
        <w:ind w:left="6480" w:hanging="360"/>
      </w:pPr>
      <w:rPr>
        <w:rFonts w:ascii="Wingdings" w:hAnsi="Wingdings" w:hint="default"/>
      </w:rPr>
    </w:lvl>
  </w:abstractNum>
  <w:abstractNum w:abstractNumId="31" w15:restartNumberingAfterBreak="0">
    <w:nsid w:val="375C7689"/>
    <w:multiLevelType w:val="hybridMultilevel"/>
    <w:tmpl w:val="DE4825BC"/>
    <w:lvl w:ilvl="0" w:tplc="E354B700">
      <w:start w:val="1"/>
      <w:numFmt w:val="bullet"/>
      <w:lvlText w:val=""/>
      <w:lvlJc w:val="left"/>
      <w:pPr>
        <w:tabs>
          <w:tab w:val="num" w:pos="1077"/>
        </w:tabs>
        <w:ind w:left="1077" w:hanging="360"/>
      </w:pPr>
      <w:rPr>
        <w:rFonts w:ascii="Symbol" w:hAnsi="Symbol" w:hint="default"/>
        <w:sz w:val="16"/>
      </w:rPr>
    </w:lvl>
    <w:lvl w:ilvl="1" w:tplc="195E9480" w:tentative="1">
      <w:start w:val="1"/>
      <w:numFmt w:val="bullet"/>
      <w:lvlText w:val="o"/>
      <w:lvlJc w:val="left"/>
      <w:pPr>
        <w:tabs>
          <w:tab w:val="num" w:pos="1797"/>
        </w:tabs>
        <w:ind w:left="1797" w:hanging="360"/>
      </w:pPr>
      <w:rPr>
        <w:rFonts w:ascii="Courier New" w:hAnsi="Courier New" w:hint="default"/>
      </w:rPr>
    </w:lvl>
    <w:lvl w:ilvl="2" w:tplc="68003A1E" w:tentative="1">
      <w:start w:val="1"/>
      <w:numFmt w:val="bullet"/>
      <w:lvlText w:val=""/>
      <w:lvlJc w:val="left"/>
      <w:pPr>
        <w:tabs>
          <w:tab w:val="num" w:pos="2517"/>
        </w:tabs>
        <w:ind w:left="2517" w:hanging="360"/>
      </w:pPr>
      <w:rPr>
        <w:rFonts w:ascii="Wingdings" w:hAnsi="Wingdings" w:hint="default"/>
      </w:rPr>
    </w:lvl>
    <w:lvl w:ilvl="3" w:tplc="18607C08" w:tentative="1">
      <w:start w:val="1"/>
      <w:numFmt w:val="bullet"/>
      <w:lvlText w:val=""/>
      <w:lvlJc w:val="left"/>
      <w:pPr>
        <w:tabs>
          <w:tab w:val="num" w:pos="3237"/>
        </w:tabs>
        <w:ind w:left="3237" w:hanging="360"/>
      </w:pPr>
      <w:rPr>
        <w:rFonts w:ascii="Symbol" w:hAnsi="Symbol" w:hint="default"/>
      </w:rPr>
    </w:lvl>
    <w:lvl w:ilvl="4" w:tplc="A8F2D71C" w:tentative="1">
      <w:start w:val="1"/>
      <w:numFmt w:val="bullet"/>
      <w:lvlText w:val="o"/>
      <w:lvlJc w:val="left"/>
      <w:pPr>
        <w:tabs>
          <w:tab w:val="num" w:pos="3957"/>
        </w:tabs>
        <w:ind w:left="3957" w:hanging="360"/>
      </w:pPr>
      <w:rPr>
        <w:rFonts w:ascii="Courier New" w:hAnsi="Courier New" w:hint="default"/>
      </w:rPr>
    </w:lvl>
    <w:lvl w:ilvl="5" w:tplc="D26AE274" w:tentative="1">
      <w:start w:val="1"/>
      <w:numFmt w:val="bullet"/>
      <w:lvlText w:val=""/>
      <w:lvlJc w:val="left"/>
      <w:pPr>
        <w:tabs>
          <w:tab w:val="num" w:pos="4677"/>
        </w:tabs>
        <w:ind w:left="4677" w:hanging="360"/>
      </w:pPr>
      <w:rPr>
        <w:rFonts w:ascii="Wingdings" w:hAnsi="Wingdings" w:hint="default"/>
      </w:rPr>
    </w:lvl>
    <w:lvl w:ilvl="6" w:tplc="F7A2C6FA" w:tentative="1">
      <w:start w:val="1"/>
      <w:numFmt w:val="bullet"/>
      <w:lvlText w:val=""/>
      <w:lvlJc w:val="left"/>
      <w:pPr>
        <w:tabs>
          <w:tab w:val="num" w:pos="5397"/>
        </w:tabs>
        <w:ind w:left="5397" w:hanging="360"/>
      </w:pPr>
      <w:rPr>
        <w:rFonts w:ascii="Symbol" w:hAnsi="Symbol" w:hint="default"/>
      </w:rPr>
    </w:lvl>
    <w:lvl w:ilvl="7" w:tplc="1FB0F25E" w:tentative="1">
      <w:start w:val="1"/>
      <w:numFmt w:val="bullet"/>
      <w:lvlText w:val="o"/>
      <w:lvlJc w:val="left"/>
      <w:pPr>
        <w:tabs>
          <w:tab w:val="num" w:pos="6117"/>
        </w:tabs>
        <w:ind w:left="6117" w:hanging="360"/>
      </w:pPr>
      <w:rPr>
        <w:rFonts w:ascii="Courier New" w:hAnsi="Courier New" w:hint="default"/>
      </w:rPr>
    </w:lvl>
    <w:lvl w:ilvl="8" w:tplc="A7AE41BE" w:tentative="1">
      <w:start w:val="1"/>
      <w:numFmt w:val="bullet"/>
      <w:lvlText w:val=""/>
      <w:lvlJc w:val="left"/>
      <w:pPr>
        <w:tabs>
          <w:tab w:val="num" w:pos="6837"/>
        </w:tabs>
        <w:ind w:left="6837" w:hanging="360"/>
      </w:pPr>
      <w:rPr>
        <w:rFonts w:ascii="Wingdings" w:hAnsi="Wingdings" w:hint="default"/>
      </w:rPr>
    </w:lvl>
  </w:abstractNum>
  <w:abstractNum w:abstractNumId="32" w15:restartNumberingAfterBreak="0">
    <w:nsid w:val="3A906602"/>
    <w:multiLevelType w:val="hybridMultilevel"/>
    <w:tmpl w:val="1AE4F1FC"/>
    <w:lvl w:ilvl="0" w:tplc="7F94B482">
      <w:start w:val="1"/>
      <w:numFmt w:val="bullet"/>
      <w:lvlText w:val=""/>
      <w:lvlJc w:val="left"/>
      <w:pPr>
        <w:ind w:left="720" w:hanging="360"/>
      </w:pPr>
      <w:rPr>
        <w:rFonts w:ascii="Symbol" w:hAnsi="Symbol" w:hint="default"/>
        <w:b w:val="0"/>
        <w:i w:val="0"/>
        <w:color w:val="0D0D0D" w:themeColor="text1" w:themeTint="F2"/>
      </w:rPr>
    </w:lvl>
    <w:lvl w:ilvl="1" w:tplc="6F3A7986">
      <w:start w:val="1"/>
      <w:numFmt w:val="bullet"/>
      <w:lvlText w:val=""/>
      <w:lvlJc w:val="left"/>
      <w:pPr>
        <w:ind w:left="1440" w:hanging="360"/>
      </w:pPr>
      <w:rPr>
        <w:rFonts w:ascii="Symbol" w:hAnsi="Symbol" w:hint="default"/>
      </w:rPr>
    </w:lvl>
    <w:lvl w:ilvl="2" w:tplc="A252D0CE">
      <w:start w:val="1"/>
      <w:numFmt w:val="lowerRoman"/>
      <w:lvlText w:val="%3."/>
      <w:lvlJc w:val="right"/>
      <w:pPr>
        <w:ind w:left="2160" w:hanging="180"/>
      </w:pPr>
    </w:lvl>
    <w:lvl w:ilvl="3" w:tplc="E4E60BB0">
      <w:start w:val="1"/>
      <w:numFmt w:val="lowerLetter"/>
      <w:lvlText w:val="%4."/>
      <w:lvlJc w:val="left"/>
      <w:pPr>
        <w:ind w:left="2880" w:hanging="360"/>
      </w:pPr>
      <w:rPr>
        <w:rFonts w:hint="default"/>
        <w:b/>
      </w:rPr>
    </w:lvl>
    <w:lvl w:ilvl="4" w:tplc="B46C048E" w:tentative="1">
      <w:start w:val="1"/>
      <w:numFmt w:val="lowerLetter"/>
      <w:lvlText w:val="%5."/>
      <w:lvlJc w:val="left"/>
      <w:pPr>
        <w:ind w:left="3600" w:hanging="360"/>
      </w:pPr>
    </w:lvl>
    <w:lvl w:ilvl="5" w:tplc="019CFA4C" w:tentative="1">
      <w:start w:val="1"/>
      <w:numFmt w:val="lowerRoman"/>
      <w:lvlText w:val="%6."/>
      <w:lvlJc w:val="right"/>
      <w:pPr>
        <w:ind w:left="4320" w:hanging="180"/>
      </w:pPr>
    </w:lvl>
    <w:lvl w:ilvl="6" w:tplc="FC82CC58" w:tentative="1">
      <w:start w:val="1"/>
      <w:numFmt w:val="decimal"/>
      <w:lvlText w:val="%7."/>
      <w:lvlJc w:val="left"/>
      <w:pPr>
        <w:ind w:left="5040" w:hanging="360"/>
      </w:pPr>
    </w:lvl>
    <w:lvl w:ilvl="7" w:tplc="CAE2CECC" w:tentative="1">
      <w:start w:val="1"/>
      <w:numFmt w:val="lowerLetter"/>
      <w:lvlText w:val="%8."/>
      <w:lvlJc w:val="left"/>
      <w:pPr>
        <w:ind w:left="5760" w:hanging="360"/>
      </w:pPr>
    </w:lvl>
    <w:lvl w:ilvl="8" w:tplc="F2181D9E" w:tentative="1">
      <w:start w:val="1"/>
      <w:numFmt w:val="lowerRoman"/>
      <w:lvlText w:val="%9."/>
      <w:lvlJc w:val="right"/>
      <w:pPr>
        <w:ind w:left="6480" w:hanging="180"/>
      </w:pPr>
    </w:lvl>
  </w:abstractNum>
  <w:abstractNum w:abstractNumId="33" w15:restartNumberingAfterBreak="0">
    <w:nsid w:val="3F4509E0"/>
    <w:multiLevelType w:val="hybridMultilevel"/>
    <w:tmpl w:val="2926DF36"/>
    <w:lvl w:ilvl="0" w:tplc="B26C56E6">
      <w:start w:val="1"/>
      <w:numFmt w:val="decimal"/>
      <w:lvlText w:val="%1."/>
      <w:lvlJc w:val="left"/>
      <w:pPr>
        <w:tabs>
          <w:tab w:val="num" w:pos="720"/>
        </w:tabs>
        <w:ind w:left="720" w:hanging="360"/>
      </w:pPr>
      <w:rPr>
        <w:rFonts w:cs="Times New Roman"/>
      </w:rPr>
    </w:lvl>
    <w:lvl w:ilvl="1" w:tplc="357422F0">
      <w:start w:val="1"/>
      <w:numFmt w:val="lowerLetter"/>
      <w:lvlText w:val="%2."/>
      <w:lvlJc w:val="left"/>
      <w:pPr>
        <w:tabs>
          <w:tab w:val="num" w:pos="1440"/>
        </w:tabs>
        <w:ind w:left="1440" w:hanging="360"/>
      </w:pPr>
      <w:rPr>
        <w:rFonts w:cs="Times New Roman"/>
      </w:rPr>
    </w:lvl>
    <w:lvl w:ilvl="2" w:tplc="AA0E7BF8" w:tentative="1">
      <w:start w:val="1"/>
      <w:numFmt w:val="lowerRoman"/>
      <w:lvlText w:val="%3."/>
      <w:lvlJc w:val="right"/>
      <w:pPr>
        <w:tabs>
          <w:tab w:val="num" w:pos="2160"/>
        </w:tabs>
        <w:ind w:left="2160" w:hanging="180"/>
      </w:pPr>
      <w:rPr>
        <w:rFonts w:cs="Times New Roman"/>
      </w:rPr>
    </w:lvl>
    <w:lvl w:ilvl="3" w:tplc="37FAC7DE" w:tentative="1">
      <w:start w:val="1"/>
      <w:numFmt w:val="decimal"/>
      <w:lvlText w:val="%4."/>
      <w:lvlJc w:val="left"/>
      <w:pPr>
        <w:tabs>
          <w:tab w:val="num" w:pos="2880"/>
        </w:tabs>
        <w:ind w:left="2880" w:hanging="360"/>
      </w:pPr>
      <w:rPr>
        <w:rFonts w:cs="Times New Roman"/>
      </w:rPr>
    </w:lvl>
    <w:lvl w:ilvl="4" w:tplc="0E869AC4" w:tentative="1">
      <w:start w:val="1"/>
      <w:numFmt w:val="lowerLetter"/>
      <w:lvlText w:val="%5."/>
      <w:lvlJc w:val="left"/>
      <w:pPr>
        <w:tabs>
          <w:tab w:val="num" w:pos="3600"/>
        </w:tabs>
        <w:ind w:left="3600" w:hanging="360"/>
      </w:pPr>
      <w:rPr>
        <w:rFonts w:cs="Times New Roman"/>
      </w:rPr>
    </w:lvl>
    <w:lvl w:ilvl="5" w:tplc="E072168E" w:tentative="1">
      <w:start w:val="1"/>
      <w:numFmt w:val="lowerRoman"/>
      <w:lvlText w:val="%6."/>
      <w:lvlJc w:val="right"/>
      <w:pPr>
        <w:tabs>
          <w:tab w:val="num" w:pos="4320"/>
        </w:tabs>
        <w:ind w:left="4320" w:hanging="180"/>
      </w:pPr>
      <w:rPr>
        <w:rFonts w:cs="Times New Roman"/>
      </w:rPr>
    </w:lvl>
    <w:lvl w:ilvl="6" w:tplc="BCC43A72" w:tentative="1">
      <w:start w:val="1"/>
      <w:numFmt w:val="decimal"/>
      <w:lvlText w:val="%7."/>
      <w:lvlJc w:val="left"/>
      <w:pPr>
        <w:tabs>
          <w:tab w:val="num" w:pos="5040"/>
        </w:tabs>
        <w:ind w:left="5040" w:hanging="360"/>
      </w:pPr>
      <w:rPr>
        <w:rFonts w:cs="Times New Roman"/>
      </w:rPr>
    </w:lvl>
    <w:lvl w:ilvl="7" w:tplc="AF56E8FE" w:tentative="1">
      <w:start w:val="1"/>
      <w:numFmt w:val="lowerLetter"/>
      <w:lvlText w:val="%8."/>
      <w:lvlJc w:val="left"/>
      <w:pPr>
        <w:tabs>
          <w:tab w:val="num" w:pos="5760"/>
        </w:tabs>
        <w:ind w:left="5760" w:hanging="360"/>
      </w:pPr>
      <w:rPr>
        <w:rFonts w:cs="Times New Roman"/>
      </w:rPr>
    </w:lvl>
    <w:lvl w:ilvl="8" w:tplc="0CEC0236" w:tentative="1">
      <w:start w:val="1"/>
      <w:numFmt w:val="lowerRoman"/>
      <w:lvlText w:val="%9."/>
      <w:lvlJc w:val="right"/>
      <w:pPr>
        <w:tabs>
          <w:tab w:val="num" w:pos="6480"/>
        </w:tabs>
        <w:ind w:left="6480" w:hanging="180"/>
      </w:pPr>
      <w:rPr>
        <w:rFonts w:cs="Times New Roman"/>
      </w:rPr>
    </w:lvl>
  </w:abstractNum>
  <w:abstractNum w:abstractNumId="34" w15:restartNumberingAfterBreak="0">
    <w:nsid w:val="41132C66"/>
    <w:multiLevelType w:val="multilevel"/>
    <w:tmpl w:val="A8CC10F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32E0DB0"/>
    <w:multiLevelType w:val="hybridMultilevel"/>
    <w:tmpl w:val="8D241210"/>
    <w:lvl w:ilvl="0" w:tplc="C748A374">
      <w:start w:val="1"/>
      <w:numFmt w:val="bullet"/>
      <w:lvlText w:val=""/>
      <w:lvlJc w:val="left"/>
      <w:pPr>
        <w:tabs>
          <w:tab w:val="num" w:pos="720"/>
        </w:tabs>
        <w:ind w:left="720" w:hanging="360"/>
      </w:pPr>
      <w:rPr>
        <w:rFonts w:ascii="Symbol" w:hAnsi="Symbol" w:hint="default"/>
      </w:rPr>
    </w:lvl>
    <w:lvl w:ilvl="1" w:tplc="0472F1C0">
      <w:start w:val="1"/>
      <w:numFmt w:val="bullet"/>
      <w:lvlText w:val="o"/>
      <w:lvlJc w:val="left"/>
      <w:pPr>
        <w:tabs>
          <w:tab w:val="num" w:pos="1440"/>
        </w:tabs>
        <w:ind w:left="1440" w:hanging="360"/>
      </w:pPr>
      <w:rPr>
        <w:rFonts w:ascii="Courier New" w:hAnsi="Courier New" w:cs="Courier New" w:hint="default"/>
      </w:rPr>
    </w:lvl>
    <w:lvl w:ilvl="2" w:tplc="DBACF322">
      <w:start w:val="1"/>
      <w:numFmt w:val="bullet"/>
      <w:lvlText w:val=""/>
      <w:lvlJc w:val="left"/>
      <w:pPr>
        <w:tabs>
          <w:tab w:val="num" w:pos="2160"/>
        </w:tabs>
        <w:ind w:left="2160" w:hanging="360"/>
      </w:pPr>
      <w:rPr>
        <w:rFonts w:ascii="Wingdings" w:hAnsi="Wingdings" w:hint="default"/>
      </w:rPr>
    </w:lvl>
    <w:lvl w:ilvl="3" w:tplc="0666E530">
      <w:start w:val="1"/>
      <w:numFmt w:val="bullet"/>
      <w:lvlText w:val=""/>
      <w:lvlJc w:val="left"/>
      <w:pPr>
        <w:tabs>
          <w:tab w:val="num" w:pos="2880"/>
        </w:tabs>
        <w:ind w:left="2880" w:hanging="360"/>
      </w:pPr>
      <w:rPr>
        <w:rFonts w:ascii="Symbol" w:hAnsi="Symbol" w:hint="default"/>
      </w:rPr>
    </w:lvl>
    <w:lvl w:ilvl="4" w:tplc="EFDC8BE2">
      <w:start w:val="1"/>
      <w:numFmt w:val="bullet"/>
      <w:lvlText w:val="o"/>
      <w:lvlJc w:val="left"/>
      <w:pPr>
        <w:tabs>
          <w:tab w:val="num" w:pos="3600"/>
        </w:tabs>
        <w:ind w:left="3600" w:hanging="360"/>
      </w:pPr>
      <w:rPr>
        <w:rFonts w:ascii="Courier New" w:hAnsi="Courier New" w:cs="Courier New" w:hint="default"/>
      </w:rPr>
    </w:lvl>
    <w:lvl w:ilvl="5" w:tplc="CD167F0E">
      <w:start w:val="1"/>
      <w:numFmt w:val="bullet"/>
      <w:lvlText w:val=""/>
      <w:lvlJc w:val="left"/>
      <w:pPr>
        <w:tabs>
          <w:tab w:val="num" w:pos="4320"/>
        </w:tabs>
        <w:ind w:left="4320" w:hanging="360"/>
      </w:pPr>
      <w:rPr>
        <w:rFonts w:ascii="Wingdings" w:hAnsi="Wingdings" w:hint="default"/>
      </w:rPr>
    </w:lvl>
    <w:lvl w:ilvl="6" w:tplc="E4DECB1C">
      <w:start w:val="1"/>
      <w:numFmt w:val="bullet"/>
      <w:lvlText w:val=""/>
      <w:lvlJc w:val="left"/>
      <w:pPr>
        <w:tabs>
          <w:tab w:val="num" w:pos="5040"/>
        </w:tabs>
        <w:ind w:left="5040" w:hanging="360"/>
      </w:pPr>
      <w:rPr>
        <w:rFonts w:ascii="Symbol" w:hAnsi="Symbol" w:hint="default"/>
      </w:rPr>
    </w:lvl>
    <w:lvl w:ilvl="7" w:tplc="94FAB434">
      <w:start w:val="1"/>
      <w:numFmt w:val="bullet"/>
      <w:lvlText w:val="o"/>
      <w:lvlJc w:val="left"/>
      <w:pPr>
        <w:tabs>
          <w:tab w:val="num" w:pos="5760"/>
        </w:tabs>
        <w:ind w:left="5760" w:hanging="360"/>
      </w:pPr>
      <w:rPr>
        <w:rFonts w:ascii="Courier New" w:hAnsi="Courier New" w:cs="Courier New" w:hint="default"/>
      </w:rPr>
    </w:lvl>
    <w:lvl w:ilvl="8" w:tplc="E5569D1E">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5A04196"/>
    <w:multiLevelType w:val="multilevel"/>
    <w:tmpl w:val="7540B5BE"/>
    <w:lvl w:ilvl="0">
      <w:start w:val="1"/>
      <w:numFmt w:val="decimal"/>
      <w:pStyle w:val="ChapterHeading"/>
      <w:lvlText w:val="%1"/>
      <w:lvlJc w:val="left"/>
      <w:pPr>
        <w:ind w:left="360" w:hanging="360"/>
      </w:pPr>
      <w:rPr>
        <w:rFonts w:cs="Times New Roman" w:hint="default"/>
        <w:b/>
        <w:color w:val="auto"/>
      </w:rPr>
    </w:lvl>
    <w:lvl w:ilvl="1">
      <w:start w:val="1"/>
      <w:numFmt w:val="decimal"/>
      <w:pStyle w:val="Subheading"/>
      <w:isLgl/>
      <w:lvlText w:val="%1.%2"/>
      <w:lvlJc w:val="left"/>
      <w:pPr>
        <w:ind w:left="360" w:hanging="360"/>
      </w:pPr>
      <w:rPr>
        <w:rFonts w:cs="Times New Roman" w:hint="default"/>
        <w:b/>
        <w:bCs/>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7" w15:restartNumberingAfterBreak="0">
    <w:nsid w:val="463478D1"/>
    <w:multiLevelType w:val="hybridMultilevel"/>
    <w:tmpl w:val="BAB65AAE"/>
    <w:lvl w:ilvl="0" w:tplc="65701804">
      <w:start w:val="1"/>
      <w:numFmt w:val="lowerLetter"/>
      <w:lvlText w:val="%1."/>
      <w:lvlJc w:val="left"/>
      <w:pPr>
        <w:tabs>
          <w:tab w:val="num" w:pos="1080"/>
        </w:tabs>
        <w:ind w:left="1080" w:hanging="360"/>
      </w:pPr>
    </w:lvl>
    <w:lvl w:ilvl="1" w:tplc="D61C83A6">
      <w:start w:val="1"/>
      <w:numFmt w:val="lowerLetter"/>
      <w:lvlText w:val="%2."/>
      <w:lvlJc w:val="left"/>
      <w:pPr>
        <w:tabs>
          <w:tab w:val="num" w:pos="1800"/>
        </w:tabs>
        <w:ind w:left="1800" w:hanging="360"/>
      </w:pPr>
    </w:lvl>
    <w:lvl w:ilvl="2" w:tplc="DDB03012">
      <w:start w:val="1"/>
      <w:numFmt w:val="lowerRoman"/>
      <w:lvlText w:val="%3."/>
      <w:lvlJc w:val="right"/>
      <w:pPr>
        <w:tabs>
          <w:tab w:val="num" w:pos="2520"/>
        </w:tabs>
        <w:ind w:left="2520" w:hanging="180"/>
      </w:pPr>
    </w:lvl>
    <w:lvl w:ilvl="3" w:tplc="89A8571C">
      <w:start w:val="1"/>
      <w:numFmt w:val="decimal"/>
      <w:lvlText w:val="%4."/>
      <w:lvlJc w:val="left"/>
      <w:pPr>
        <w:tabs>
          <w:tab w:val="num" w:pos="3240"/>
        </w:tabs>
        <w:ind w:left="3240" w:hanging="360"/>
      </w:pPr>
    </w:lvl>
    <w:lvl w:ilvl="4" w:tplc="3604A238">
      <w:start w:val="1"/>
      <w:numFmt w:val="lowerLetter"/>
      <w:lvlText w:val="%5."/>
      <w:lvlJc w:val="left"/>
      <w:pPr>
        <w:tabs>
          <w:tab w:val="num" w:pos="3960"/>
        </w:tabs>
        <w:ind w:left="3960" w:hanging="360"/>
      </w:pPr>
    </w:lvl>
    <w:lvl w:ilvl="5" w:tplc="B4C4748A">
      <w:start w:val="1"/>
      <w:numFmt w:val="lowerRoman"/>
      <w:lvlText w:val="%6."/>
      <w:lvlJc w:val="right"/>
      <w:pPr>
        <w:tabs>
          <w:tab w:val="num" w:pos="4680"/>
        </w:tabs>
        <w:ind w:left="4680" w:hanging="180"/>
      </w:pPr>
    </w:lvl>
    <w:lvl w:ilvl="6" w:tplc="65EA33F8">
      <w:start w:val="1"/>
      <w:numFmt w:val="decimal"/>
      <w:lvlText w:val="%7."/>
      <w:lvlJc w:val="left"/>
      <w:pPr>
        <w:tabs>
          <w:tab w:val="num" w:pos="5400"/>
        </w:tabs>
        <w:ind w:left="5400" w:hanging="360"/>
      </w:pPr>
    </w:lvl>
    <w:lvl w:ilvl="7" w:tplc="3C12018A">
      <w:start w:val="1"/>
      <w:numFmt w:val="lowerLetter"/>
      <w:lvlText w:val="%8."/>
      <w:lvlJc w:val="left"/>
      <w:pPr>
        <w:tabs>
          <w:tab w:val="num" w:pos="6120"/>
        </w:tabs>
        <w:ind w:left="6120" w:hanging="360"/>
      </w:pPr>
    </w:lvl>
    <w:lvl w:ilvl="8" w:tplc="749E5CA8">
      <w:start w:val="1"/>
      <w:numFmt w:val="lowerRoman"/>
      <w:lvlText w:val="%9."/>
      <w:lvlJc w:val="right"/>
      <w:pPr>
        <w:tabs>
          <w:tab w:val="num" w:pos="6840"/>
        </w:tabs>
        <w:ind w:left="6840" w:hanging="180"/>
      </w:pPr>
    </w:lvl>
  </w:abstractNum>
  <w:abstractNum w:abstractNumId="38" w15:restartNumberingAfterBreak="0">
    <w:nsid w:val="486B6FA3"/>
    <w:multiLevelType w:val="hybridMultilevel"/>
    <w:tmpl w:val="17CE8E94"/>
    <w:lvl w:ilvl="0" w:tplc="F68AD522">
      <w:start w:val="1"/>
      <w:numFmt w:val="bullet"/>
      <w:lvlText w:val=""/>
      <w:lvlJc w:val="left"/>
      <w:pPr>
        <w:tabs>
          <w:tab w:val="num" w:pos="1080"/>
        </w:tabs>
        <w:ind w:left="1080" w:hanging="360"/>
      </w:pPr>
      <w:rPr>
        <w:rFonts w:ascii="Symbol" w:hAnsi="Symbol" w:hint="default"/>
      </w:rPr>
    </w:lvl>
    <w:lvl w:ilvl="1" w:tplc="0B9E278A">
      <w:start w:val="1"/>
      <w:numFmt w:val="bullet"/>
      <w:lvlText w:val="o"/>
      <w:lvlJc w:val="left"/>
      <w:pPr>
        <w:tabs>
          <w:tab w:val="num" w:pos="1800"/>
        </w:tabs>
        <w:ind w:left="1800" w:hanging="360"/>
      </w:pPr>
      <w:rPr>
        <w:rFonts w:ascii="Courier New" w:hAnsi="Courier New" w:cs="Courier New" w:hint="default"/>
      </w:rPr>
    </w:lvl>
    <w:lvl w:ilvl="2" w:tplc="21E00D32">
      <w:start w:val="1"/>
      <w:numFmt w:val="bullet"/>
      <w:lvlText w:val=""/>
      <w:lvlJc w:val="left"/>
      <w:pPr>
        <w:tabs>
          <w:tab w:val="num" w:pos="2520"/>
        </w:tabs>
        <w:ind w:left="2520" w:hanging="360"/>
      </w:pPr>
      <w:rPr>
        <w:rFonts w:ascii="Wingdings" w:hAnsi="Wingdings" w:hint="default"/>
      </w:rPr>
    </w:lvl>
    <w:lvl w:ilvl="3" w:tplc="809C4F68">
      <w:start w:val="1"/>
      <w:numFmt w:val="bullet"/>
      <w:lvlText w:val=""/>
      <w:lvlJc w:val="left"/>
      <w:pPr>
        <w:tabs>
          <w:tab w:val="num" w:pos="3240"/>
        </w:tabs>
        <w:ind w:left="3240" w:hanging="360"/>
      </w:pPr>
      <w:rPr>
        <w:rFonts w:ascii="Symbol" w:hAnsi="Symbol" w:hint="default"/>
      </w:rPr>
    </w:lvl>
    <w:lvl w:ilvl="4" w:tplc="CD78F5DE">
      <w:start w:val="1"/>
      <w:numFmt w:val="bullet"/>
      <w:lvlText w:val="o"/>
      <w:lvlJc w:val="left"/>
      <w:pPr>
        <w:tabs>
          <w:tab w:val="num" w:pos="3960"/>
        </w:tabs>
        <w:ind w:left="3960" w:hanging="360"/>
      </w:pPr>
      <w:rPr>
        <w:rFonts w:ascii="Courier New" w:hAnsi="Courier New" w:cs="Courier New" w:hint="default"/>
      </w:rPr>
    </w:lvl>
    <w:lvl w:ilvl="5" w:tplc="D2CEE560">
      <w:start w:val="1"/>
      <w:numFmt w:val="bullet"/>
      <w:lvlText w:val=""/>
      <w:lvlJc w:val="left"/>
      <w:pPr>
        <w:tabs>
          <w:tab w:val="num" w:pos="4680"/>
        </w:tabs>
        <w:ind w:left="4680" w:hanging="360"/>
      </w:pPr>
      <w:rPr>
        <w:rFonts w:ascii="Wingdings" w:hAnsi="Wingdings" w:hint="default"/>
      </w:rPr>
    </w:lvl>
    <w:lvl w:ilvl="6" w:tplc="42A66E10">
      <w:start w:val="1"/>
      <w:numFmt w:val="bullet"/>
      <w:lvlText w:val=""/>
      <w:lvlJc w:val="left"/>
      <w:pPr>
        <w:tabs>
          <w:tab w:val="num" w:pos="5400"/>
        </w:tabs>
        <w:ind w:left="5400" w:hanging="360"/>
      </w:pPr>
      <w:rPr>
        <w:rFonts w:ascii="Symbol" w:hAnsi="Symbol" w:hint="default"/>
      </w:rPr>
    </w:lvl>
    <w:lvl w:ilvl="7" w:tplc="C456ACFA">
      <w:start w:val="1"/>
      <w:numFmt w:val="bullet"/>
      <w:lvlText w:val="o"/>
      <w:lvlJc w:val="left"/>
      <w:pPr>
        <w:tabs>
          <w:tab w:val="num" w:pos="6120"/>
        </w:tabs>
        <w:ind w:left="6120" w:hanging="360"/>
      </w:pPr>
      <w:rPr>
        <w:rFonts w:ascii="Courier New" w:hAnsi="Courier New" w:cs="Courier New" w:hint="default"/>
      </w:rPr>
    </w:lvl>
    <w:lvl w:ilvl="8" w:tplc="9CF84CEA">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4A16758E"/>
    <w:multiLevelType w:val="hybridMultilevel"/>
    <w:tmpl w:val="47C831D8"/>
    <w:lvl w:ilvl="0" w:tplc="85488F74">
      <w:start w:val="1"/>
      <w:numFmt w:val="lowerLetter"/>
      <w:lvlText w:val="%1."/>
      <w:lvlJc w:val="left"/>
      <w:pPr>
        <w:ind w:left="720" w:hanging="360"/>
      </w:pPr>
      <w:rPr>
        <w:rFonts w:hint="default"/>
        <w:b/>
      </w:rPr>
    </w:lvl>
    <w:lvl w:ilvl="1" w:tplc="E46A5C78" w:tentative="1">
      <w:start w:val="1"/>
      <w:numFmt w:val="lowerLetter"/>
      <w:lvlText w:val="%2."/>
      <w:lvlJc w:val="left"/>
      <w:pPr>
        <w:ind w:left="1440" w:hanging="360"/>
      </w:pPr>
    </w:lvl>
    <w:lvl w:ilvl="2" w:tplc="D43C77FA" w:tentative="1">
      <w:start w:val="1"/>
      <w:numFmt w:val="lowerRoman"/>
      <w:lvlText w:val="%3."/>
      <w:lvlJc w:val="right"/>
      <w:pPr>
        <w:ind w:left="2160" w:hanging="180"/>
      </w:pPr>
    </w:lvl>
    <w:lvl w:ilvl="3" w:tplc="214E368C" w:tentative="1">
      <w:start w:val="1"/>
      <w:numFmt w:val="decimal"/>
      <w:lvlText w:val="%4."/>
      <w:lvlJc w:val="left"/>
      <w:pPr>
        <w:ind w:left="2880" w:hanging="360"/>
      </w:pPr>
    </w:lvl>
    <w:lvl w:ilvl="4" w:tplc="0CECFF9E" w:tentative="1">
      <w:start w:val="1"/>
      <w:numFmt w:val="lowerLetter"/>
      <w:lvlText w:val="%5."/>
      <w:lvlJc w:val="left"/>
      <w:pPr>
        <w:ind w:left="3600" w:hanging="360"/>
      </w:pPr>
    </w:lvl>
    <w:lvl w:ilvl="5" w:tplc="043CB350" w:tentative="1">
      <w:start w:val="1"/>
      <w:numFmt w:val="lowerRoman"/>
      <w:lvlText w:val="%6."/>
      <w:lvlJc w:val="right"/>
      <w:pPr>
        <w:ind w:left="4320" w:hanging="180"/>
      </w:pPr>
    </w:lvl>
    <w:lvl w:ilvl="6" w:tplc="95463EB6" w:tentative="1">
      <w:start w:val="1"/>
      <w:numFmt w:val="decimal"/>
      <w:lvlText w:val="%7."/>
      <w:lvlJc w:val="left"/>
      <w:pPr>
        <w:ind w:left="5040" w:hanging="360"/>
      </w:pPr>
    </w:lvl>
    <w:lvl w:ilvl="7" w:tplc="45DC88F6" w:tentative="1">
      <w:start w:val="1"/>
      <w:numFmt w:val="lowerLetter"/>
      <w:lvlText w:val="%8."/>
      <w:lvlJc w:val="left"/>
      <w:pPr>
        <w:ind w:left="5760" w:hanging="360"/>
      </w:pPr>
    </w:lvl>
    <w:lvl w:ilvl="8" w:tplc="DDD253E2" w:tentative="1">
      <w:start w:val="1"/>
      <w:numFmt w:val="lowerRoman"/>
      <w:lvlText w:val="%9."/>
      <w:lvlJc w:val="right"/>
      <w:pPr>
        <w:ind w:left="6480" w:hanging="180"/>
      </w:pPr>
    </w:lvl>
  </w:abstractNum>
  <w:abstractNum w:abstractNumId="40" w15:restartNumberingAfterBreak="0">
    <w:nsid w:val="4D6E3D5D"/>
    <w:multiLevelType w:val="hybridMultilevel"/>
    <w:tmpl w:val="905E0704"/>
    <w:lvl w:ilvl="0" w:tplc="53660526">
      <w:start w:val="1"/>
      <w:numFmt w:val="bullet"/>
      <w:lvlText w:val=""/>
      <w:lvlJc w:val="left"/>
      <w:pPr>
        <w:ind w:left="720" w:hanging="360"/>
      </w:pPr>
      <w:rPr>
        <w:rFonts w:ascii="Symbol" w:hAnsi="Symbol" w:hint="default"/>
      </w:rPr>
    </w:lvl>
    <w:lvl w:ilvl="1" w:tplc="DB9ECC3C" w:tentative="1">
      <w:start w:val="1"/>
      <w:numFmt w:val="bullet"/>
      <w:lvlText w:val="o"/>
      <w:lvlJc w:val="left"/>
      <w:pPr>
        <w:ind w:left="1440" w:hanging="360"/>
      </w:pPr>
      <w:rPr>
        <w:rFonts w:ascii="Courier New" w:hAnsi="Courier New" w:cs="Courier New" w:hint="default"/>
      </w:rPr>
    </w:lvl>
    <w:lvl w:ilvl="2" w:tplc="B9266DAC" w:tentative="1">
      <w:start w:val="1"/>
      <w:numFmt w:val="bullet"/>
      <w:lvlText w:val=""/>
      <w:lvlJc w:val="left"/>
      <w:pPr>
        <w:ind w:left="2160" w:hanging="360"/>
      </w:pPr>
      <w:rPr>
        <w:rFonts w:ascii="Wingdings" w:hAnsi="Wingdings" w:hint="default"/>
      </w:rPr>
    </w:lvl>
    <w:lvl w:ilvl="3" w:tplc="DD78C9CC" w:tentative="1">
      <w:start w:val="1"/>
      <w:numFmt w:val="bullet"/>
      <w:lvlText w:val=""/>
      <w:lvlJc w:val="left"/>
      <w:pPr>
        <w:ind w:left="2880" w:hanging="360"/>
      </w:pPr>
      <w:rPr>
        <w:rFonts w:ascii="Symbol" w:hAnsi="Symbol" w:hint="default"/>
      </w:rPr>
    </w:lvl>
    <w:lvl w:ilvl="4" w:tplc="3C7CC002" w:tentative="1">
      <w:start w:val="1"/>
      <w:numFmt w:val="bullet"/>
      <w:lvlText w:val="o"/>
      <w:lvlJc w:val="left"/>
      <w:pPr>
        <w:ind w:left="3600" w:hanging="360"/>
      </w:pPr>
      <w:rPr>
        <w:rFonts w:ascii="Courier New" w:hAnsi="Courier New" w:cs="Courier New" w:hint="default"/>
      </w:rPr>
    </w:lvl>
    <w:lvl w:ilvl="5" w:tplc="A9CEC406" w:tentative="1">
      <w:start w:val="1"/>
      <w:numFmt w:val="bullet"/>
      <w:lvlText w:val=""/>
      <w:lvlJc w:val="left"/>
      <w:pPr>
        <w:ind w:left="4320" w:hanging="360"/>
      </w:pPr>
      <w:rPr>
        <w:rFonts w:ascii="Wingdings" w:hAnsi="Wingdings" w:hint="default"/>
      </w:rPr>
    </w:lvl>
    <w:lvl w:ilvl="6" w:tplc="B7FE1140" w:tentative="1">
      <w:start w:val="1"/>
      <w:numFmt w:val="bullet"/>
      <w:lvlText w:val=""/>
      <w:lvlJc w:val="left"/>
      <w:pPr>
        <w:ind w:left="5040" w:hanging="360"/>
      </w:pPr>
      <w:rPr>
        <w:rFonts w:ascii="Symbol" w:hAnsi="Symbol" w:hint="default"/>
      </w:rPr>
    </w:lvl>
    <w:lvl w:ilvl="7" w:tplc="3236BD26" w:tentative="1">
      <w:start w:val="1"/>
      <w:numFmt w:val="bullet"/>
      <w:lvlText w:val="o"/>
      <w:lvlJc w:val="left"/>
      <w:pPr>
        <w:ind w:left="5760" w:hanging="360"/>
      </w:pPr>
      <w:rPr>
        <w:rFonts w:ascii="Courier New" w:hAnsi="Courier New" w:cs="Courier New" w:hint="default"/>
      </w:rPr>
    </w:lvl>
    <w:lvl w:ilvl="8" w:tplc="FEF213CC" w:tentative="1">
      <w:start w:val="1"/>
      <w:numFmt w:val="bullet"/>
      <w:lvlText w:val=""/>
      <w:lvlJc w:val="left"/>
      <w:pPr>
        <w:ind w:left="6480" w:hanging="360"/>
      </w:pPr>
      <w:rPr>
        <w:rFonts w:ascii="Wingdings" w:hAnsi="Wingdings" w:hint="default"/>
      </w:rPr>
    </w:lvl>
  </w:abstractNum>
  <w:abstractNum w:abstractNumId="41" w15:restartNumberingAfterBreak="0">
    <w:nsid w:val="4DB738C4"/>
    <w:multiLevelType w:val="hybridMultilevel"/>
    <w:tmpl w:val="DBEC9120"/>
    <w:lvl w:ilvl="0" w:tplc="95FEB71E">
      <w:start w:val="1"/>
      <w:numFmt w:val="bullet"/>
      <w:lvlText w:val=""/>
      <w:lvlJc w:val="left"/>
      <w:pPr>
        <w:tabs>
          <w:tab w:val="num" w:pos="700"/>
        </w:tabs>
        <w:ind w:left="700" w:hanging="360"/>
      </w:pPr>
      <w:rPr>
        <w:rFonts w:ascii="Symbol" w:hAnsi="Symbol" w:hint="default"/>
        <w:sz w:val="16"/>
      </w:rPr>
    </w:lvl>
    <w:lvl w:ilvl="1" w:tplc="B1A80384">
      <w:start w:val="1"/>
      <w:numFmt w:val="bullet"/>
      <w:lvlText w:val="o"/>
      <w:lvlJc w:val="left"/>
      <w:pPr>
        <w:tabs>
          <w:tab w:val="num" w:pos="1440"/>
        </w:tabs>
        <w:ind w:left="1440" w:hanging="360"/>
      </w:pPr>
      <w:rPr>
        <w:rFonts w:ascii="Courier New" w:hAnsi="Courier New" w:hint="default"/>
      </w:rPr>
    </w:lvl>
    <w:lvl w:ilvl="2" w:tplc="57B412A4">
      <w:start w:val="1"/>
      <w:numFmt w:val="bullet"/>
      <w:lvlText w:val=""/>
      <w:lvlJc w:val="left"/>
      <w:pPr>
        <w:tabs>
          <w:tab w:val="num" w:pos="2160"/>
        </w:tabs>
        <w:ind w:left="2160" w:hanging="360"/>
      </w:pPr>
      <w:rPr>
        <w:rFonts w:ascii="Wingdings" w:hAnsi="Wingdings" w:hint="default"/>
      </w:rPr>
    </w:lvl>
    <w:lvl w:ilvl="3" w:tplc="A2369A5A" w:tentative="1">
      <w:start w:val="1"/>
      <w:numFmt w:val="bullet"/>
      <w:lvlText w:val=""/>
      <w:lvlJc w:val="left"/>
      <w:pPr>
        <w:tabs>
          <w:tab w:val="num" w:pos="2880"/>
        </w:tabs>
        <w:ind w:left="2880" w:hanging="360"/>
      </w:pPr>
      <w:rPr>
        <w:rFonts w:ascii="Symbol" w:hAnsi="Symbol" w:hint="default"/>
      </w:rPr>
    </w:lvl>
    <w:lvl w:ilvl="4" w:tplc="012E7838" w:tentative="1">
      <w:start w:val="1"/>
      <w:numFmt w:val="bullet"/>
      <w:lvlText w:val="o"/>
      <w:lvlJc w:val="left"/>
      <w:pPr>
        <w:tabs>
          <w:tab w:val="num" w:pos="3600"/>
        </w:tabs>
        <w:ind w:left="3600" w:hanging="360"/>
      </w:pPr>
      <w:rPr>
        <w:rFonts w:ascii="Courier New" w:hAnsi="Courier New" w:hint="default"/>
      </w:rPr>
    </w:lvl>
    <w:lvl w:ilvl="5" w:tplc="98C8CB2C" w:tentative="1">
      <w:start w:val="1"/>
      <w:numFmt w:val="bullet"/>
      <w:lvlText w:val=""/>
      <w:lvlJc w:val="left"/>
      <w:pPr>
        <w:tabs>
          <w:tab w:val="num" w:pos="4320"/>
        </w:tabs>
        <w:ind w:left="4320" w:hanging="360"/>
      </w:pPr>
      <w:rPr>
        <w:rFonts w:ascii="Wingdings" w:hAnsi="Wingdings" w:hint="default"/>
      </w:rPr>
    </w:lvl>
    <w:lvl w:ilvl="6" w:tplc="D6D074EE" w:tentative="1">
      <w:start w:val="1"/>
      <w:numFmt w:val="bullet"/>
      <w:lvlText w:val=""/>
      <w:lvlJc w:val="left"/>
      <w:pPr>
        <w:tabs>
          <w:tab w:val="num" w:pos="5040"/>
        </w:tabs>
        <w:ind w:left="5040" w:hanging="360"/>
      </w:pPr>
      <w:rPr>
        <w:rFonts w:ascii="Symbol" w:hAnsi="Symbol" w:hint="default"/>
      </w:rPr>
    </w:lvl>
    <w:lvl w:ilvl="7" w:tplc="4F828DB8" w:tentative="1">
      <w:start w:val="1"/>
      <w:numFmt w:val="bullet"/>
      <w:lvlText w:val="o"/>
      <w:lvlJc w:val="left"/>
      <w:pPr>
        <w:tabs>
          <w:tab w:val="num" w:pos="5760"/>
        </w:tabs>
        <w:ind w:left="5760" w:hanging="360"/>
      </w:pPr>
      <w:rPr>
        <w:rFonts w:ascii="Courier New" w:hAnsi="Courier New" w:hint="default"/>
      </w:rPr>
    </w:lvl>
    <w:lvl w:ilvl="8" w:tplc="5EAA157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604E09"/>
    <w:multiLevelType w:val="singleLevel"/>
    <w:tmpl w:val="FD8A4090"/>
    <w:lvl w:ilvl="0">
      <w:start w:val="1"/>
      <w:numFmt w:val="decimal"/>
      <w:lvlText w:val="%1."/>
      <w:lvlJc w:val="left"/>
      <w:pPr>
        <w:tabs>
          <w:tab w:val="num" w:pos="720"/>
        </w:tabs>
        <w:ind w:left="720" w:hanging="720"/>
      </w:pPr>
    </w:lvl>
  </w:abstractNum>
  <w:abstractNum w:abstractNumId="43" w15:restartNumberingAfterBreak="0">
    <w:nsid w:val="54242AC1"/>
    <w:multiLevelType w:val="hybridMultilevel"/>
    <w:tmpl w:val="D8A4A072"/>
    <w:lvl w:ilvl="0" w:tplc="304E92AA">
      <w:start w:val="1"/>
      <w:numFmt w:val="bullet"/>
      <w:lvlText w:val=""/>
      <w:lvlJc w:val="left"/>
      <w:pPr>
        <w:ind w:left="360" w:hanging="360"/>
      </w:pPr>
      <w:rPr>
        <w:rFonts w:ascii="Symbol" w:hAnsi="Symbol" w:hint="default"/>
      </w:rPr>
    </w:lvl>
    <w:lvl w:ilvl="1" w:tplc="1624E320" w:tentative="1">
      <w:start w:val="1"/>
      <w:numFmt w:val="bullet"/>
      <w:lvlText w:val="o"/>
      <w:lvlJc w:val="left"/>
      <w:pPr>
        <w:ind w:left="1080" w:hanging="360"/>
      </w:pPr>
      <w:rPr>
        <w:rFonts w:ascii="Courier New" w:hAnsi="Courier New" w:cs="Courier New" w:hint="default"/>
      </w:rPr>
    </w:lvl>
    <w:lvl w:ilvl="2" w:tplc="FE68A652" w:tentative="1">
      <w:start w:val="1"/>
      <w:numFmt w:val="bullet"/>
      <w:lvlText w:val=""/>
      <w:lvlJc w:val="left"/>
      <w:pPr>
        <w:ind w:left="1800" w:hanging="360"/>
      </w:pPr>
      <w:rPr>
        <w:rFonts w:ascii="Wingdings" w:hAnsi="Wingdings" w:hint="default"/>
      </w:rPr>
    </w:lvl>
    <w:lvl w:ilvl="3" w:tplc="08D08CEA" w:tentative="1">
      <w:start w:val="1"/>
      <w:numFmt w:val="bullet"/>
      <w:lvlText w:val=""/>
      <w:lvlJc w:val="left"/>
      <w:pPr>
        <w:ind w:left="2520" w:hanging="360"/>
      </w:pPr>
      <w:rPr>
        <w:rFonts w:ascii="Symbol" w:hAnsi="Symbol" w:hint="default"/>
      </w:rPr>
    </w:lvl>
    <w:lvl w:ilvl="4" w:tplc="5476A344" w:tentative="1">
      <w:start w:val="1"/>
      <w:numFmt w:val="bullet"/>
      <w:lvlText w:val="o"/>
      <w:lvlJc w:val="left"/>
      <w:pPr>
        <w:ind w:left="3240" w:hanging="360"/>
      </w:pPr>
      <w:rPr>
        <w:rFonts w:ascii="Courier New" w:hAnsi="Courier New" w:cs="Courier New" w:hint="default"/>
      </w:rPr>
    </w:lvl>
    <w:lvl w:ilvl="5" w:tplc="E5D6C4D0" w:tentative="1">
      <w:start w:val="1"/>
      <w:numFmt w:val="bullet"/>
      <w:lvlText w:val=""/>
      <w:lvlJc w:val="left"/>
      <w:pPr>
        <w:ind w:left="3960" w:hanging="360"/>
      </w:pPr>
      <w:rPr>
        <w:rFonts w:ascii="Wingdings" w:hAnsi="Wingdings" w:hint="default"/>
      </w:rPr>
    </w:lvl>
    <w:lvl w:ilvl="6" w:tplc="1A28B466" w:tentative="1">
      <w:start w:val="1"/>
      <w:numFmt w:val="bullet"/>
      <w:lvlText w:val=""/>
      <w:lvlJc w:val="left"/>
      <w:pPr>
        <w:ind w:left="4680" w:hanging="360"/>
      </w:pPr>
      <w:rPr>
        <w:rFonts w:ascii="Symbol" w:hAnsi="Symbol" w:hint="default"/>
      </w:rPr>
    </w:lvl>
    <w:lvl w:ilvl="7" w:tplc="3B442682" w:tentative="1">
      <w:start w:val="1"/>
      <w:numFmt w:val="bullet"/>
      <w:lvlText w:val="o"/>
      <w:lvlJc w:val="left"/>
      <w:pPr>
        <w:ind w:left="5400" w:hanging="360"/>
      </w:pPr>
      <w:rPr>
        <w:rFonts w:ascii="Courier New" w:hAnsi="Courier New" w:cs="Courier New" w:hint="default"/>
      </w:rPr>
    </w:lvl>
    <w:lvl w:ilvl="8" w:tplc="BA90B29C" w:tentative="1">
      <w:start w:val="1"/>
      <w:numFmt w:val="bullet"/>
      <w:lvlText w:val=""/>
      <w:lvlJc w:val="left"/>
      <w:pPr>
        <w:ind w:left="6120" w:hanging="360"/>
      </w:pPr>
      <w:rPr>
        <w:rFonts w:ascii="Wingdings" w:hAnsi="Wingdings" w:hint="default"/>
      </w:rPr>
    </w:lvl>
  </w:abstractNum>
  <w:abstractNum w:abstractNumId="44" w15:restartNumberingAfterBreak="0">
    <w:nsid w:val="545C0AE8"/>
    <w:multiLevelType w:val="hybridMultilevel"/>
    <w:tmpl w:val="4B08C1CC"/>
    <w:lvl w:ilvl="0" w:tplc="1A14B26A">
      <w:start w:val="1"/>
      <w:numFmt w:val="bullet"/>
      <w:lvlText w:val=""/>
      <w:lvlJc w:val="left"/>
      <w:pPr>
        <w:tabs>
          <w:tab w:val="num" w:pos="1083"/>
        </w:tabs>
        <w:ind w:left="1083" w:hanging="363"/>
      </w:pPr>
      <w:rPr>
        <w:rFonts w:ascii="Symbol" w:hAnsi="Symbol" w:hint="default"/>
      </w:rPr>
    </w:lvl>
    <w:lvl w:ilvl="1" w:tplc="2FCE72A8" w:tentative="1">
      <w:start w:val="1"/>
      <w:numFmt w:val="bullet"/>
      <w:lvlText w:val="o"/>
      <w:lvlJc w:val="left"/>
      <w:pPr>
        <w:tabs>
          <w:tab w:val="num" w:pos="2160"/>
        </w:tabs>
        <w:ind w:left="2160" w:hanging="360"/>
      </w:pPr>
      <w:rPr>
        <w:rFonts w:ascii="Courier New" w:hAnsi="Courier New" w:cs="Courier New" w:hint="default"/>
      </w:rPr>
    </w:lvl>
    <w:lvl w:ilvl="2" w:tplc="28D8302C" w:tentative="1">
      <w:start w:val="1"/>
      <w:numFmt w:val="bullet"/>
      <w:lvlText w:val=""/>
      <w:lvlJc w:val="left"/>
      <w:pPr>
        <w:tabs>
          <w:tab w:val="num" w:pos="2880"/>
        </w:tabs>
        <w:ind w:left="2880" w:hanging="360"/>
      </w:pPr>
      <w:rPr>
        <w:rFonts w:ascii="Wingdings" w:hAnsi="Wingdings" w:hint="default"/>
      </w:rPr>
    </w:lvl>
    <w:lvl w:ilvl="3" w:tplc="87F2E90C" w:tentative="1">
      <w:start w:val="1"/>
      <w:numFmt w:val="bullet"/>
      <w:lvlText w:val=""/>
      <w:lvlJc w:val="left"/>
      <w:pPr>
        <w:tabs>
          <w:tab w:val="num" w:pos="3600"/>
        </w:tabs>
        <w:ind w:left="3600" w:hanging="360"/>
      </w:pPr>
      <w:rPr>
        <w:rFonts w:ascii="Symbol" w:hAnsi="Symbol" w:hint="default"/>
      </w:rPr>
    </w:lvl>
    <w:lvl w:ilvl="4" w:tplc="31C48752" w:tentative="1">
      <w:start w:val="1"/>
      <w:numFmt w:val="bullet"/>
      <w:lvlText w:val="o"/>
      <w:lvlJc w:val="left"/>
      <w:pPr>
        <w:tabs>
          <w:tab w:val="num" w:pos="4320"/>
        </w:tabs>
        <w:ind w:left="4320" w:hanging="360"/>
      </w:pPr>
      <w:rPr>
        <w:rFonts w:ascii="Courier New" w:hAnsi="Courier New" w:cs="Courier New" w:hint="default"/>
      </w:rPr>
    </w:lvl>
    <w:lvl w:ilvl="5" w:tplc="E9A8522E" w:tentative="1">
      <w:start w:val="1"/>
      <w:numFmt w:val="bullet"/>
      <w:lvlText w:val=""/>
      <w:lvlJc w:val="left"/>
      <w:pPr>
        <w:tabs>
          <w:tab w:val="num" w:pos="5040"/>
        </w:tabs>
        <w:ind w:left="5040" w:hanging="360"/>
      </w:pPr>
      <w:rPr>
        <w:rFonts w:ascii="Wingdings" w:hAnsi="Wingdings" w:hint="default"/>
      </w:rPr>
    </w:lvl>
    <w:lvl w:ilvl="6" w:tplc="0B16BC0C" w:tentative="1">
      <w:start w:val="1"/>
      <w:numFmt w:val="bullet"/>
      <w:lvlText w:val=""/>
      <w:lvlJc w:val="left"/>
      <w:pPr>
        <w:tabs>
          <w:tab w:val="num" w:pos="5760"/>
        </w:tabs>
        <w:ind w:left="5760" w:hanging="360"/>
      </w:pPr>
      <w:rPr>
        <w:rFonts w:ascii="Symbol" w:hAnsi="Symbol" w:hint="default"/>
      </w:rPr>
    </w:lvl>
    <w:lvl w:ilvl="7" w:tplc="A59274E4" w:tentative="1">
      <w:start w:val="1"/>
      <w:numFmt w:val="bullet"/>
      <w:lvlText w:val="o"/>
      <w:lvlJc w:val="left"/>
      <w:pPr>
        <w:tabs>
          <w:tab w:val="num" w:pos="6480"/>
        </w:tabs>
        <w:ind w:left="6480" w:hanging="360"/>
      </w:pPr>
      <w:rPr>
        <w:rFonts w:ascii="Courier New" w:hAnsi="Courier New" w:cs="Courier New" w:hint="default"/>
      </w:rPr>
    </w:lvl>
    <w:lvl w:ilvl="8" w:tplc="B08C9FAC"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54854CA5"/>
    <w:multiLevelType w:val="hybridMultilevel"/>
    <w:tmpl w:val="5B4A8D98"/>
    <w:lvl w:ilvl="0" w:tplc="DE5ACB90">
      <w:start w:val="1"/>
      <w:numFmt w:val="bullet"/>
      <w:lvlText w:val=""/>
      <w:lvlJc w:val="left"/>
      <w:pPr>
        <w:ind w:left="720" w:hanging="360"/>
      </w:pPr>
      <w:rPr>
        <w:rFonts w:ascii="Symbol" w:hAnsi="Symbol" w:hint="default"/>
      </w:rPr>
    </w:lvl>
    <w:lvl w:ilvl="1" w:tplc="FF44A094" w:tentative="1">
      <w:start w:val="1"/>
      <w:numFmt w:val="bullet"/>
      <w:lvlText w:val="o"/>
      <w:lvlJc w:val="left"/>
      <w:pPr>
        <w:ind w:left="1440" w:hanging="360"/>
      </w:pPr>
      <w:rPr>
        <w:rFonts w:ascii="Courier New" w:hAnsi="Courier New" w:cs="Courier New" w:hint="default"/>
      </w:rPr>
    </w:lvl>
    <w:lvl w:ilvl="2" w:tplc="FD345F00" w:tentative="1">
      <w:start w:val="1"/>
      <w:numFmt w:val="bullet"/>
      <w:lvlText w:val=""/>
      <w:lvlJc w:val="left"/>
      <w:pPr>
        <w:ind w:left="2160" w:hanging="360"/>
      </w:pPr>
      <w:rPr>
        <w:rFonts w:ascii="Wingdings" w:hAnsi="Wingdings" w:hint="default"/>
      </w:rPr>
    </w:lvl>
    <w:lvl w:ilvl="3" w:tplc="097412DE" w:tentative="1">
      <w:start w:val="1"/>
      <w:numFmt w:val="bullet"/>
      <w:lvlText w:val=""/>
      <w:lvlJc w:val="left"/>
      <w:pPr>
        <w:ind w:left="2880" w:hanging="360"/>
      </w:pPr>
      <w:rPr>
        <w:rFonts w:ascii="Symbol" w:hAnsi="Symbol" w:hint="default"/>
      </w:rPr>
    </w:lvl>
    <w:lvl w:ilvl="4" w:tplc="2E889F4A" w:tentative="1">
      <w:start w:val="1"/>
      <w:numFmt w:val="bullet"/>
      <w:lvlText w:val="o"/>
      <w:lvlJc w:val="left"/>
      <w:pPr>
        <w:ind w:left="3600" w:hanging="360"/>
      </w:pPr>
      <w:rPr>
        <w:rFonts w:ascii="Courier New" w:hAnsi="Courier New" w:cs="Courier New" w:hint="default"/>
      </w:rPr>
    </w:lvl>
    <w:lvl w:ilvl="5" w:tplc="550ACD9E" w:tentative="1">
      <w:start w:val="1"/>
      <w:numFmt w:val="bullet"/>
      <w:lvlText w:val=""/>
      <w:lvlJc w:val="left"/>
      <w:pPr>
        <w:ind w:left="4320" w:hanging="360"/>
      </w:pPr>
      <w:rPr>
        <w:rFonts w:ascii="Wingdings" w:hAnsi="Wingdings" w:hint="default"/>
      </w:rPr>
    </w:lvl>
    <w:lvl w:ilvl="6" w:tplc="9A4CEA1C" w:tentative="1">
      <w:start w:val="1"/>
      <w:numFmt w:val="bullet"/>
      <w:lvlText w:val=""/>
      <w:lvlJc w:val="left"/>
      <w:pPr>
        <w:ind w:left="5040" w:hanging="360"/>
      </w:pPr>
      <w:rPr>
        <w:rFonts w:ascii="Symbol" w:hAnsi="Symbol" w:hint="default"/>
      </w:rPr>
    </w:lvl>
    <w:lvl w:ilvl="7" w:tplc="BFE8C5B6" w:tentative="1">
      <w:start w:val="1"/>
      <w:numFmt w:val="bullet"/>
      <w:lvlText w:val="o"/>
      <w:lvlJc w:val="left"/>
      <w:pPr>
        <w:ind w:left="5760" w:hanging="360"/>
      </w:pPr>
      <w:rPr>
        <w:rFonts w:ascii="Courier New" w:hAnsi="Courier New" w:cs="Courier New" w:hint="default"/>
      </w:rPr>
    </w:lvl>
    <w:lvl w:ilvl="8" w:tplc="8A6022FE" w:tentative="1">
      <w:start w:val="1"/>
      <w:numFmt w:val="bullet"/>
      <w:lvlText w:val=""/>
      <w:lvlJc w:val="left"/>
      <w:pPr>
        <w:ind w:left="6480" w:hanging="360"/>
      </w:pPr>
      <w:rPr>
        <w:rFonts w:ascii="Wingdings" w:hAnsi="Wingdings" w:hint="default"/>
      </w:rPr>
    </w:lvl>
  </w:abstractNum>
  <w:abstractNum w:abstractNumId="46" w15:restartNumberingAfterBreak="0">
    <w:nsid w:val="551249A6"/>
    <w:multiLevelType w:val="hybridMultilevel"/>
    <w:tmpl w:val="3C82C424"/>
    <w:lvl w:ilvl="0" w:tplc="73ECC40E">
      <w:start w:val="1"/>
      <w:numFmt w:val="lowerLetter"/>
      <w:lvlText w:val="%1)"/>
      <w:lvlJc w:val="left"/>
      <w:pPr>
        <w:tabs>
          <w:tab w:val="num" w:pos="1440"/>
        </w:tabs>
        <w:ind w:left="1440" w:hanging="720"/>
      </w:pPr>
    </w:lvl>
    <w:lvl w:ilvl="1" w:tplc="F9B646E2" w:tentative="1">
      <w:start w:val="1"/>
      <w:numFmt w:val="lowerLetter"/>
      <w:lvlText w:val="%2."/>
      <w:lvlJc w:val="left"/>
      <w:pPr>
        <w:tabs>
          <w:tab w:val="num" w:pos="2160"/>
        </w:tabs>
        <w:ind w:left="2160" w:hanging="360"/>
      </w:pPr>
    </w:lvl>
    <w:lvl w:ilvl="2" w:tplc="B10E1A72" w:tentative="1">
      <w:start w:val="1"/>
      <w:numFmt w:val="lowerRoman"/>
      <w:lvlText w:val="%3."/>
      <w:lvlJc w:val="right"/>
      <w:pPr>
        <w:tabs>
          <w:tab w:val="num" w:pos="2880"/>
        </w:tabs>
        <w:ind w:left="2880" w:hanging="180"/>
      </w:pPr>
    </w:lvl>
    <w:lvl w:ilvl="3" w:tplc="E23CA266" w:tentative="1">
      <w:start w:val="1"/>
      <w:numFmt w:val="decimal"/>
      <w:lvlText w:val="%4."/>
      <w:lvlJc w:val="left"/>
      <w:pPr>
        <w:tabs>
          <w:tab w:val="num" w:pos="3600"/>
        </w:tabs>
        <w:ind w:left="3600" w:hanging="360"/>
      </w:pPr>
    </w:lvl>
    <w:lvl w:ilvl="4" w:tplc="954CF5BE" w:tentative="1">
      <w:start w:val="1"/>
      <w:numFmt w:val="lowerLetter"/>
      <w:lvlText w:val="%5."/>
      <w:lvlJc w:val="left"/>
      <w:pPr>
        <w:tabs>
          <w:tab w:val="num" w:pos="4320"/>
        </w:tabs>
        <w:ind w:left="4320" w:hanging="360"/>
      </w:pPr>
    </w:lvl>
    <w:lvl w:ilvl="5" w:tplc="28CA48BE" w:tentative="1">
      <w:start w:val="1"/>
      <w:numFmt w:val="lowerRoman"/>
      <w:lvlText w:val="%6."/>
      <w:lvlJc w:val="right"/>
      <w:pPr>
        <w:tabs>
          <w:tab w:val="num" w:pos="5040"/>
        </w:tabs>
        <w:ind w:left="5040" w:hanging="180"/>
      </w:pPr>
    </w:lvl>
    <w:lvl w:ilvl="6" w:tplc="1512B198" w:tentative="1">
      <w:start w:val="1"/>
      <w:numFmt w:val="decimal"/>
      <w:lvlText w:val="%7."/>
      <w:lvlJc w:val="left"/>
      <w:pPr>
        <w:tabs>
          <w:tab w:val="num" w:pos="5760"/>
        </w:tabs>
        <w:ind w:left="5760" w:hanging="360"/>
      </w:pPr>
    </w:lvl>
    <w:lvl w:ilvl="7" w:tplc="A43E55D4" w:tentative="1">
      <w:start w:val="1"/>
      <w:numFmt w:val="lowerLetter"/>
      <w:lvlText w:val="%8."/>
      <w:lvlJc w:val="left"/>
      <w:pPr>
        <w:tabs>
          <w:tab w:val="num" w:pos="6480"/>
        </w:tabs>
        <w:ind w:left="6480" w:hanging="360"/>
      </w:pPr>
    </w:lvl>
    <w:lvl w:ilvl="8" w:tplc="077681AE" w:tentative="1">
      <w:start w:val="1"/>
      <w:numFmt w:val="lowerRoman"/>
      <w:lvlText w:val="%9."/>
      <w:lvlJc w:val="right"/>
      <w:pPr>
        <w:tabs>
          <w:tab w:val="num" w:pos="7200"/>
        </w:tabs>
        <w:ind w:left="7200" w:hanging="180"/>
      </w:pPr>
    </w:lvl>
  </w:abstractNum>
  <w:abstractNum w:abstractNumId="47" w15:restartNumberingAfterBreak="0">
    <w:nsid w:val="58493DA8"/>
    <w:multiLevelType w:val="hybridMultilevel"/>
    <w:tmpl w:val="0DEA493E"/>
    <w:lvl w:ilvl="0" w:tplc="5360199C">
      <w:start w:val="1"/>
      <w:numFmt w:val="lowerLetter"/>
      <w:lvlText w:val="%1)"/>
      <w:lvlJc w:val="left"/>
      <w:pPr>
        <w:tabs>
          <w:tab w:val="num" w:pos="1440"/>
        </w:tabs>
        <w:ind w:left="1440" w:hanging="720"/>
      </w:pPr>
    </w:lvl>
    <w:lvl w:ilvl="1" w:tplc="FE28D406" w:tentative="1">
      <w:start w:val="1"/>
      <w:numFmt w:val="lowerLetter"/>
      <w:lvlText w:val="%2."/>
      <w:lvlJc w:val="left"/>
      <w:pPr>
        <w:tabs>
          <w:tab w:val="num" w:pos="2160"/>
        </w:tabs>
        <w:ind w:left="2160" w:hanging="360"/>
      </w:pPr>
    </w:lvl>
    <w:lvl w:ilvl="2" w:tplc="88547C46" w:tentative="1">
      <w:start w:val="1"/>
      <w:numFmt w:val="lowerRoman"/>
      <w:lvlText w:val="%3."/>
      <w:lvlJc w:val="right"/>
      <w:pPr>
        <w:tabs>
          <w:tab w:val="num" w:pos="2880"/>
        </w:tabs>
        <w:ind w:left="2880" w:hanging="180"/>
      </w:pPr>
    </w:lvl>
    <w:lvl w:ilvl="3" w:tplc="1B3AD0B6" w:tentative="1">
      <w:start w:val="1"/>
      <w:numFmt w:val="decimal"/>
      <w:lvlText w:val="%4."/>
      <w:lvlJc w:val="left"/>
      <w:pPr>
        <w:tabs>
          <w:tab w:val="num" w:pos="3600"/>
        </w:tabs>
        <w:ind w:left="3600" w:hanging="360"/>
      </w:pPr>
    </w:lvl>
    <w:lvl w:ilvl="4" w:tplc="93243B74" w:tentative="1">
      <w:start w:val="1"/>
      <w:numFmt w:val="lowerLetter"/>
      <w:lvlText w:val="%5."/>
      <w:lvlJc w:val="left"/>
      <w:pPr>
        <w:tabs>
          <w:tab w:val="num" w:pos="4320"/>
        </w:tabs>
        <w:ind w:left="4320" w:hanging="360"/>
      </w:pPr>
    </w:lvl>
    <w:lvl w:ilvl="5" w:tplc="4B28BB9E" w:tentative="1">
      <w:start w:val="1"/>
      <w:numFmt w:val="lowerRoman"/>
      <w:lvlText w:val="%6."/>
      <w:lvlJc w:val="right"/>
      <w:pPr>
        <w:tabs>
          <w:tab w:val="num" w:pos="5040"/>
        </w:tabs>
        <w:ind w:left="5040" w:hanging="180"/>
      </w:pPr>
    </w:lvl>
    <w:lvl w:ilvl="6" w:tplc="2BF60B0A" w:tentative="1">
      <w:start w:val="1"/>
      <w:numFmt w:val="decimal"/>
      <w:lvlText w:val="%7."/>
      <w:lvlJc w:val="left"/>
      <w:pPr>
        <w:tabs>
          <w:tab w:val="num" w:pos="5760"/>
        </w:tabs>
        <w:ind w:left="5760" w:hanging="360"/>
      </w:pPr>
    </w:lvl>
    <w:lvl w:ilvl="7" w:tplc="C7C2EFB4" w:tentative="1">
      <w:start w:val="1"/>
      <w:numFmt w:val="lowerLetter"/>
      <w:lvlText w:val="%8."/>
      <w:lvlJc w:val="left"/>
      <w:pPr>
        <w:tabs>
          <w:tab w:val="num" w:pos="6480"/>
        </w:tabs>
        <w:ind w:left="6480" w:hanging="360"/>
      </w:pPr>
    </w:lvl>
    <w:lvl w:ilvl="8" w:tplc="74F075D8" w:tentative="1">
      <w:start w:val="1"/>
      <w:numFmt w:val="lowerRoman"/>
      <w:lvlText w:val="%9."/>
      <w:lvlJc w:val="right"/>
      <w:pPr>
        <w:tabs>
          <w:tab w:val="num" w:pos="7200"/>
        </w:tabs>
        <w:ind w:left="7200" w:hanging="180"/>
      </w:pPr>
    </w:lvl>
  </w:abstractNum>
  <w:abstractNum w:abstractNumId="48" w15:restartNumberingAfterBreak="0">
    <w:nsid w:val="5DA53F30"/>
    <w:multiLevelType w:val="hybridMultilevel"/>
    <w:tmpl w:val="CDBEA3DA"/>
    <w:lvl w:ilvl="0" w:tplc="1ADA9E62">
      <w:start w:val="1"/>
      <w:numFmt w:val="bullet"/>
      <w:lvlText w:val=""/>
      <w:lvlJc w:val="left"/>
      <w:pPr>
        <w:ind w:left="720" w:hanging="360"/>
      </w:pPr>
      <w:rPr>
        <w:rFonts w:ascii="Symbol" w:hAnsi="Symbol" w:hint="default"/>
      </w:rPr>
    </w:lvl>
    <w:lvl w:ilvl="1" w:tplc="9AC29DCE" w:tentative="1">
      <w:start w:val="1"/>
      <w:numFmt w:val="bullet"/>
      <w:lvlText w:val="o"/>
      <w:lvlJc w:val="left"/>
      <w:pPr>
        <w:ind w:left="1440" w:hanging="360"/>
      </w:pPr>
      <w:rPr>
        <w:rFonts w:ascii="Courier New" w:hAnsi="Courier New" w:cs="Courier New" w:hint="default"/>
      </w:rPr>
    </w:lvl>
    <w:lvl w:ilvl="2" w:tplc="50809022" w:tentative="1">
      <w:start w:val="1"/>
      <w:numFmt w:val="bullet"/>
      <w:lvlText w:val=""/>
      <w:lvlJc w:val="left"/>
      <w:pPr>
        <w:ind w:left="2160" w:hanging="360"/>
      </w:pPr>
      <w:rPr>
        <w:rFonts w:ascii="Wingdings" w:hAnsi="Wingdings" w:hint="default"/>
      </w:rPr>
    </w:lvl>
    <w:lvl w:ilvl="3" w:tplc="D6342E52" w:tentative="1">
      <w:start w:val="1"/>
      <w:numFmt w:val="bullet"/>
      <w:lvlText w:val=""/>
      <w:lvlJc w:val="left"/>
      <w:pPr>
        <w:ind w:left="2880" w:hanging="360"/>
      </w:pPr>
      <w:rPr>
        <w:rFonts w:ascii="Symbol" w:hAnsi="Symbol" w:hint="default"/>
      </w:rPr>
    </w:lvl>
    <w:lvl w:ilvl="4" w:tplc="5E9E30E8" w:tentative="1">
      <w:start w:val="1"/>
      <w:numFmt w:val="bullet"/>
      <w:lvlText w:val="o"/>
      <w:lvlJc w:val="left"/>
      <w:pPr>
        <w:ind w:left="3600" w:hanging="360"/>
      </w:pPr>
      <w:rPr>
        <w:rFonts w:ascii="Courier New" w:hAnsi="Courier New" w:cs="Courier New" w:hint="default"/>
      </w:rPr>
    </w:lvl>
    <w:lvl w:ilvl="5" w:tplc="AC90BF84" w:tentative="1">
      <w:start w:val="1"/>
      <w:numFmt w:val="bullet"/>
      <w:lvlText w:val=""/>
      <w:lvlJc w:val="left"/>
      <w:pPr>
        <w:ind w:left="4320" w:hanging="360"/>
      </w:pPr>
      <w:rPr>
        <w:rFonts w:ascii="Wingdings" w:hAnsi="Wingdings" w:hint="default"/>
      </w:rPr>
    </w:lvl>
    <w:lvl w:ilvl="6" w:tplc="D2C207B2" w:tentative="1">
      <w:start w:val="1"/>
      <w:numFmt w:val="bullet"/>
      <w:lvlText w:val=""/>
      <w:lvlJc w:val="left"/>
      <w:pPr>
        <w:ind w:left="5040" w:hanging="360"/>
      </w:pPr>
      <w:rPr>
        <w:rFonts w:ascii="Symbol" w:hAnsi="Symbol" w:hint="default"/>
      </w:rPr>
    </w:lvl>
    <w:lvl w:ilvl="7" w:tplc="74DA4CD8" w:tentative="1">
      <w:start w:val="1"/>
      <w:numFmt w:val="bullet"/>
      <w:lvlText w:val="o"/>
      <w:lvlJc w:val="left"/>
      <w:pPr>
        <w:ind w:left="5760" w:hanging="360"/>
      </w:pPr>
      <w:rPr>
        <w:rFonts w:ascii="Courier New" w:hAnsi="Courier New" w:cs="Courier New" w:hint="default"/>
      </w:rPr>
    </w:lvl>
    <w:lvl w:ilvl="8" w:tplc="58E48BFE" w:tentative="1">
      <w:start w:val="1"/>
      <w:numFmt w:val="bullet"/>
      <w:lvlText w:val=""/>
      <w:lvlJc w:val="left"/>
      <w:pPr>
        <w:ind w:left="6480" w:hanging="360"/>
      </w:pPr>
      <w:rPr>
        <w:rFonts w:ascii="Wingdings" w:hAnsi="Wingdings" w:hint="default"/>
      </w:rPr>
    </w:lvl>
  </w:abstractNum>
  <w:abstractNum w:abstractNumId="49" w15:restartNumberingAfterBreak="0">
    <w:nsid w:val="5E1D5B4F"/>
    <w:multiLevelType w:val="hybridMultilevel"/>
    <w:tmpl w:val="61624F8E"/>
    <w:lvl w:ilvl="0" w:tplc="D24E813A">
      <w:start w:val="1"/>
      <w:numFmt w:val="bullet"/>
      <w:lvlText w:val=""/>
      <w:lvlJc w:val="left"/>
      <w:pPr>
        <w:ind w:left="720" w:hanging="360"/>
      </w:pPr>
      <w:rPr>
        <w:rFonts w:ascii="Symbol" w:hAnsi="Symbol" w:hint="default"/>
      </w:rPr>
    </w:lvl>
    <w:lvl w:ilvl="1" w:tplc="1BC83740" w:tentative="1">
      <w:start w:val="1"/>
      <w:numFmt w:val="bullet"/>
      <w:lvlText w:val="o"/>
      <w:lvlJc w:val="left"/>
      <w:pPr>
        <w:ind w:left="1440" w:hanging="360"/>
      </w:pPr>
      <w:rPr>
        <w:rFonts w:ascii="Courier New" w:hAnsi="Courier New" w:cs="Courier New" w:hint="default"/>
      </w:rPr>
    </w:lvl>
    <w:lvl w:ilvl="2" w:tplc="02827178" w:tentative="1">
      <w:start w:val="1"/>
      <w:numFmt w:val="bullet"/>
      <w:lvlText w:val=""/>
      <w:lvlJc w:val="left"/>
      <w:pPr>
        <w:ind w:left="2160" w:hanging="360"/>
      </w:pPr>
      <w:rPr>
        <w:rFonts w:ascii="Wingdings" w:hAnsi="Wingdings" w:hint="default"/>
      </w:rPr>
    </w:lvl>
    <w:lvl w:ilvl="3" w:tplc="71C05244" w:tentative="1">
      <w:start w:val="1"/>
      <w:numFmt w:val="bullet"/>
      <w:lvlText w:val=""/>
      <w:lvlJc w:val="left"/>
      <w:pPr>
        <w:ind w:left="2880" w:hanging="360"/>
      </w:pPr>
      <w:rPr>
        <w:rFonts w:ascii="Symbol" w:hAnsi="Symbol" w:hint="default"/>
      </w:rPr>
    </w:lvl>
    <w:lvl w:ilvl="4" w:tplc="7410F372" w:tentative="1">
      <w:start w:val="1"/>
      <w:numFmt w:val="bullet"/>
      <w:lvlText w:val="o"/>
      <w:lvlJc w:val="left"/>
      <w:pPr>
        <w:ind w:left="3600" w:hanging="360"/>
      </w:pPr>
      <w:rPr>
        <w:rFonts w:ascii="Courier New" w:hAnsi="Courier New" w:cs="Courier New" w:hint="default"/>
      </w:rPr>
    </w:lvl>
    <w:lvl w:ilvl="5" w:tplc="179C1494" w:tentative="1">
      <w:start w:val="1"/>
      <w:numFmt w:val="bullet"/>
      <w:lvlText w:val=""/>
      <w:lvlJc w:val="left"/>
      <w:pPr>
        <w:ind w:left="4320" w:hanging="360"/>
      </w:pPr>
      <w:rPr>
        <w:rFonts w:ascii="Wingdings" w:hAnsi="Wingdings" w:hint="default"/>
      </w:rPr>
    </w:lvl>
    <w:lvl w:ilvl="6" w:tplc="ECD8D6F8" w:tentative="1">
      <w:start w:val="1"/>
      <w:numFmt w:val="bullet"/>
      <w:lvlText w:val=""/>
      <w:lvlJc w:val="left"/>
      <w:pPr>
        <w:ind w:left="5040" w:hanging="360"/>
      </w:pPr>
      <w:rPr>
        <w:rFonts w:ascii="Symbol" w:hAnsi="Symbol" w:hint="default"/>
      </w:rPr>
    </w:lvl>
    <w:lvl w:ilvl="7" w:tplc="89BC5900" w:tentative="1">
      <w:start w:val="1"/>
      <w:numFmt w:val="bullet"/>
      <w:lvlText w:val="o"/>
      <w:lvlJc w:val="left"/>
      <w:pPr>
        <w:ind w:left="5760" w:hanging="360"/>
      </w:pPr>
      <w:rPr>
        <w:rFonts w:ascii="Courier New" w:hAnsi="Courier New" w:cs="Courier New" w:hint="default"/>
      </w:rPr>
    </w:lvl>
    <w:lvl w:ilvl="8" w:tplc="AB741A44" w:tentative="1">
      <w:start w:val="1"/>
      <w:numFmt w:val="bullet"/>
      <w:lvlText w:val=""/>
      <w:lvlJc w:val="left"/>
      <w:pPr>
        <w:ind w:left="6480" w:hanging="360"/>
      </w:pPr>
      <w:rPr>
        <w:rFonts w:ascii="Wingdings" w:hAnsi="Wingdings" w:hint="default"/>
      </w:rPr>
    </w:lvl>
  </w:abstractNum>
  <w:abstractNum w:abstractNumId="50" w15:restartNumberingAfterBreak="0">
    <w:nsid w:val="63354473"/>
    <w:multiLevelType w:val="hybridMultilevel"/>
    <w:tmpl w:val="6FE056A6"/>
    <w:lvl w:ilvl="0" w:tplc="45AE7750">
      <w:start w:val="1"/>
      <w:numFmt w:val="lowerRoman"/>
      <w:lvlText w:val="%1."/>
      <w:lvlJc w:val="right"/>
      <w:pPr>
        <w:tabs>
          <w:tab w:val="num" w:pos="2160"/>
        </w:tabs>
        <w:ind w:left="2160" w:hanging="180"/>
      </w:pPr>
      <w:rPr>
        <w:rFonts w:cs="Times New Roman"/>
        <w:i w:val="0"/>
      </w:rPr>
    </w:lvl>
    <w:lvl w:ilvl="1" w:tplc="A3D4A608" w:tentative="1">
      <w:start w:val="1"/>
      <w:numFmt w:val="lowerLetter"/>
      <w:lvlText w:val="%2."/>
      <w:lvlJc w:val="left"/>
      <w:pPr>
        <w:tabs>
          <w:tab w:val="num" w:pos="1440"/>
        </w:tabs>
        <w:ind w:left="1440" w:hanging="360"/>
      </w:pPr>
      <w:rPr>
        <w:rFonts w:cs="Times New Roman"/>
      </w:rPr>
    </w:lvl>
    <w:lvl w:ilvl="2" w:tplc="F1F4C28A" w:tentative="1">
      <w:start w:val="1"/>
      <w:numFmt w:val="lowerRoman"/>
      <w:lvlText w:val="%3."/>
      <w:lvlJc w:val="right"/>
      <w:pPr>
        <w:tabs>
          <w:tab w:val="num" w:pos="2160"/>
        </w:tabs>
        <w:ind w:left="2160" w:hanging="180"/>
      </w:pPr>
      <w:rPr>
        <w:rFonts w:cs="Times New Roman"/>
      </w:rPr>
    </w:lvl>
    <w:lvl w:ilvl="3" w:tplc="A042B1EC" w:tentative="1">
      <w:start w:val="1"/>
      <w:numFmt w:val="decimal"/>
      <w:lvlText w:val="%4."/>
      <w:lvlJc w:val="left"/>
      <w:pPr>
        <w:tabs>
          <w:tab w:val="num" w:pos="2880"/>
        </w:tabs>
        <w:ind w:left="2880" w:hanging="360"/>
      </w:pPr>
      <w:rPr>
        <w:rFonts w:cs="Times New Roman"/>
      </w:rPr>
    </w:lvl>
    <w:lvl w:ilvl="4" w:tplc="563EFE2E" w:tentative="1">
      <w:start w:val="1"/>
      <w:numFmt w:val="lowerLetter"/>
      <w:lvlText w:val="%5."/>
      <w:lvlJc w:val="left"/>
      <w:pPr>
        <w:tabs>
          <w:tab w:val="num" w:pos="3600"/>
        </w:tabs>
        <w:ind w:left="3600" w:hanging="360"/>
      </w:pPr>
      <w:rPr>
        <w:rFonts w:cs="Times New Roman"/>
      </w:rPr>
    </w:lvl>
    <w:lvl w:ilvl="5" w:tplc="E1587956" w:tentative="1">
      <w:start w:val="1"/>
      <w:numFmt w:val="lowerRoman"/>
      <w:lvlText w:val="%6."/>
      <w:lvlJc w:val="right"/>
      <w:pPr>
        <w:tabs>
          <w:tab w:val="num" w:pos="4320"/>
        </w:tabs>
        <w:ind w:left="4320" w:hanging="180"/>
      </w:pPr>
      <w:rPr>
        <w:rFonts w:cs="Times New Roman"/>
      </w:rPr>
    </w:lvl>
    <w:lvl w:ilvl="6" w:tplc="628AE054" w:tentative="1">
      <w:start w:val="1"/>
      <w:numFmt w:val="decimal"/>
      <w:lvlText w:val="%7."/>
      <w:lvlJc w:val="left"/>
      <w:pPr>
        <w:tabs>
          <w:tab w:val="num" w:pos="5040"/>
        </w:tabs>
        <w:ind w:left="5040" w:hanging="360"/>
      </w:pPr>
      <w:rPr>
        <w:rFonts w:cs="Times New Roman"/>
      </w:rPr>
    </w:lvl>
    <w:lvl w:ilvl="7" w:tplc="BAE43B0C" w:tentative="1">
      <w:start w:val="1"/>
      <w:numFmt w:val="lowerLetter"/>
      <w:lvlText w:val="%8."/>
      <w:lvlJc w:val="left"/>
      <w:pPr>
        <w:tabs>
          <w:tab w:val="num" w:pos="5760"/>
        </w:tabs>
        <w:ind w:left="5760" w:hanging="360"/>
      </w:pPr>
      <w:rPr>
        <w:rFonts w:cs="Times New Roman"/>
      </w:rPr>
    </w:lvl>
    <w:lvl w:ilvl="8" w:tplc="C8EA7408" w:tentative="1">
      <w:start w:val="1"/>
      <w:numFmt w:val="lowerRoman"/>
      <w:lvlText w:val="%9."/>
      <w:lvlJc w:val="right"/>
      <w:pPr>
        <w:tabs>
          <w:tab w:val="num" w:pos="6480"/>
        </w:tabs>
        <w:ind w:left="6480" w:hanging="180"/>
      </w:pPr>
      <w:rPr>
        <w:rFonts w:cs="Times New Roman"/>
      </w:rPr>
    </w:lvl>
  </w:abstractNum>
  <w:abstractNum w:abstractNumId="51" w15:restartNumberingAfterBreak="0">
    <w:nsid w:val="67ED3BC6"/>
    <w:multiLevelType w:val="hybridMultilevel"/>
    <w:tmpl w:val="A5927CEC"/>
    <w:lvl w:ilvl="0" w:tplc="365E040E">
      <w:start w:val="1"/>
      <w:numFmt w:val="bullet"/>
      <w:lvlText w:val=""/>
      <w:lvlJc w:val="left"/>
      <w:pPr>
        <w:ind w:left="742" w:hanging="360"/>
      </w:pPr>
      <w:rPr>
        <w:rFonts w:ascii="Symbol" w:hAnsi="Symbol" w:hint="default"/>
      </w:rPr>
    </w:lvl>
    <w:lvl w:ilvl="1" w:tplc="FC306CF8">
      <w:start w:val="1"/>
      <w:numFmt w:val="bullet"/>
      <w:lvlText w:val="o"/>
      <w:lvlJc w:val="left"/>
      <w:pPr>
        <w:ind w:left="1462" w:hanging="360"/>
      </w:pPr>
      <w:rPr>
        <w:rFonts w:ascii="Courier New" w:hAnsi="Courier New" w:cs="Courier New" w:hint="default"/>
      </w:rPr>
    </w:lvl>
    <w:lvl w:ilvl="2" w:tplc="E0CEC2BA" w:tentative="1">
      <w:start w:val="1"/>
      <w:numFmt w:val="bullet"/>
      <w:lvlText w:val=""/>
      <w:lvlJc w:val="left"/>
      <w:pPr>
        <w:ind w:left="2182" w:hanging="360"/>
      </w:pPr>
      <w:rPr>
        <w:rFonts w:ascii="Wingdings" w:hAnsi="Wingdings" w:hint="default"/>
      </w:rPr>
    </w:lvl>
    <w:lvl w:ilvl="3" w:tplc="FCC23832" w:tentative="1">
      <w:start w:val="1"/>
      <w:numFmt w:val="bullet"/>
      <w:lvlText w:val=""/>
      <w:lvlJc w:val="left"/>
      <w:pPr>
        <w:ind w:left="2902" w:hanging="360"/>
      </w:pPr>
      <w:rPr>
        <w:rFonts w:ascii="Symbol" w:hAnsi="Symbol" w:hint="default"/>
      </w:rPr>
    </w:lvl>
    <w:lvl w:ilvl="4" w:tplc="233AC8CA" w:tentative="1">
      <w:start w:val="1"/>
      <w:numFmt w:val="bullet"/>
      <w:lvlText w:val="o"/>
      <w:lvlJc w:val="left"/>
      <w:pPr>
        <w:ind w:left="3622" w:hanging="360"/>
      </w:pPr>
      <w:rPr>
        <w:rFonts w:ascii="Courier New" w:hAnsi="Courier New" w:cs="Courier New" w:hint="default"/>
      </w:rPr>
    </w:lvl>
    <w:lvl w:ilvl="5" w:tplc="93047D78" w:tentative="1">
      <w:start w:val="1"/>
      <w:numFmt w:val="bullet"/>
      <w:lvlText w:val=""/>
      <w:lvlJc w:val="left"/>
      <w:pPr>
        <w:ind w:left="4342" w:hanging="360"/>
      </w:pPr>
      <w:rPr>
        <w:rFonts w:ascii="Wingdings" w:hAnsi="Wingdings" w:hint="default"/>
      </w:rPr>
    </w:lvl>
    <w:lvl w:ilvl="6" w:tplc="E438B930" w:tentative="1">
      <w:start w:val="1"/>
      <w:numFmt w:val="bullet"/>
      <w:lvlText w:val=""/>
      <w:lvlJc w:val="left"/>
      <w:pPr>
        <w:ind w:left="5062" w:hanging="360"/>
      </w:pPr>
      <w:rPr>
        <w:rFonts w:ascii="Symbol" w:hAnsi="Symbol" w:hint="default"/>
      </w:rPr>
    </w:lvl>
    <w:lvl w:ilvl="7" w:tplc="167AC152" w:tentative="1">
      <w:start w:val="1"/>
      <w:numFmt w:val="bullet"/>
      <w:lvlText w:val="o"/>
      <w:lvlJc w:val="left"/>
      <w:pPr>
        <w:ind w:left="5782" w:hanging="360"/>
      </w:pPr>
      <w:rPr>
        <w:rFonts w:ascii="Courier New" w:hAnsi="Courier New" w:cs="Courier New" w:hint="default"/>
      </w:rPr>
    </w:lvl>
    <w:lvl w:ilvl="8" w:tplc="FB184F98" w:tentative="1">
      <w:start w:val="1"/>
      <w:numFmt w:val="bullet"/>
      <w:lvlText w:val=""/>
      <w:lvlJc w:val="left"/>
      <w:pPr>
        <w:ind w:left="6502" w:hanging="360"/>
      </w:pPr>
      <w:rPr>
        <w:rFonts w:ascii="Wingdings" w:hAnsi="Wingdings" w:hint="default"/>
      </w:rPr>
    </w:lvl>
  </w:abstractNum>
  <w:abstractNum w:abstractNumId="52" w15:restartNumberingAfterBreak="0">
    <w:nsid w:val="6AFC10C9"/>
    <w:multiLevelType w:val="hybridMultilevel"/>
    <w:tmpl w:val="65CE0AD0"/>
    <w:lvl w:ilvl="0" w:tplc="4CE8F07E">
      <w:start w:val="1"/>
      <w:numFmt w:val="lowerLetter"/>
      <w:lvlText w:val="%1)"/>
      <w:lvlJc w:val="left"/>
      <w:pPr>
        <w:tabs>
          <w:tab w:val="num" w:pos="1440"/>
        </w:tabs>
        <w:ind w:left="1440" w:hanging="720"/>
      </w:pPr>
    </w:lvl>
    <w:lvl w:ilvl="1" w:tplc="AEF80C3C" w:tentative="1">
      <w:start w:val="1"/>
      <w:numFmt w:val="lowerLetter"/>
      <w:lvlText w:val="%2."/>
      <w:lvlJc w:val="left"/>
      <w:pPr>
        <w:tabs>
          <w:tab w:val="num" w:pos="2160"/>
        </w:tabs>
        <w:ind w:left="2160" w:hanging="360"/>
      </w:pPr>
    </w:lvl>
    <w:lvl w:ilvl="2" w:tplc="C7685452" w:tentative="1">
      <w:start w:val="1"/>
      <w:numFmt w:val="lowerRoman"/>
      <w:lvlText w:val="%3."/>
      <w:lvlJc w:val="right"/>
      <w:pPr>
        <w:tabs>
          <w:tab w:val="num" w:pos="2880"/>
        </w:tabs>
        <w:ind w:left="2880" w:hanging="180"/>
      </w:pPr>
    </w:lvl>
    <w:lvl w:ilvl="3" w:tplc="5CCEB1B0" w:tentative="1">
      <w:start w:val="1"/>
      <w:numFmt w:val="decimal"/>
      <w:lvlText w:val="%4."/>
      <w:lvlJc w:val="left"/>
      <w:pPr>
        <w:tabs>
          <w:tab w:val="num" w:pos="3600"/>
        </w:tabs>
        <w:ind w:left="3600" w:hanging="360"/>
      </w:pPr>
    </w:lvl>
    <w:lvl w:ilvl="4" w:tplc="235CFFCA" w:tentative="1">
      <w:start w:val="1"/>
      <w:numFmt w:val="lowerLetter"/>
      <w:lvlText w:val="%5."/>
      <w:lvlJc w:val="left"/>
      <w:pPr>
        <w:tabs>
          <w:tab w:val="num" w:pos="4320"/>
        </w:tabs>
        <w:ind w:left="4320" w:hanging="360"/>
      </w:pPr>
    </w:lvl>
    <w:lvl w:ilvl="5" w:tplc="8F44C866" w:tentative="1">
      <w:start w:val="1"/>
      <w:numFmt w:val="lowerRoman"/>
      <w:lvlText w:val="%6."/>
      <w:lvlJc w:val="right"/>
      <w:pPr>
        <w:tabs>
          <w:tab w:val="num" w:pos="5040"/>
        </w:tabs>
        <w:ind w:left="5040" w:hanging="180"/>
      </w:pPr>
    </w:lvl>
    <w:lvl w:ilvl="6" w:tplc="764A82AA" w:tentative="1">
      <w:start w:val="1"/>
      <w:numFmt w:val="decimal"/>
      <w:lvlText w:val="%7."/>
      <w:lvlJc w:val="left"/>
      <w:pPr>
        <w:tabs>
          <w:tab w:val="num" w:pos="5760"/>
        </w:tabs>
        <w:ind w:left="5760" w:hanging="360"/>
      </w:pPr>
    </w:lvl>
    <w:lvl w:ilvl="7" w:tplc="42C290A4" w:tentative="1">
      <w:start w:val="1"/>
      <w:numFmt w:val="lowerLetter"/>
      <w:lvlText w:val="%8."/>
      <w:lvlJc w:val="left"/>
      <w:pPr>
        <w:tabs>
          <w:tab w:val="num" w:pos="6480"/>
        </w:tabs>
        <w:ind w:left="6480" w:hanging="360"/>
      </w:pPr>
    </w:lvl>
    <w:lvl w:ilvl="8" w:tplc="4A18CDDA" w:tentative="1">
      <w:start w:val="1"/>
      <w:numFmt w:val="lowerRoman"/>
      <w:lvlText w:val="%9."/>
      <w:lvlJc w:val="right"/>
      <w:pPr>
        <w:tabs>
          <w:tab w:val="num" w:pos="7200"/>
        </w:tabs>
        <w:ind w:left="7200" w:hanging="180"/>
      </w:pPr>
    </w:lvl>
  </w:abstractNum>
  <w:abstractNum w:abstractNumId="53" w15:restartNumberingAfterBreak="0">
    <w:nsid w:val="7118793F"/>
    <w:multiLevelType w:val="hybridMultilevel"/>
    <w:tmpl w:val="85EC1E9A"/>
    <w:lvl w:ilvl="0" w:tplc="F7B47632">
      <w:start w:val="1"/>
      <w:numFmt w:val="bullet"/>
      <w:lvlText w:val=""/>
      <w:lvlJc w:val="left"/>
      <w:pPr>
        <w:ind w:left="720" w:hanging="360"/>
      </w:pPr>
      <w:rPr>
        <w:rFonts w:ascii="Symbol" w:hAnsi="Symbol" w:hint="default"/>
      </w:rPr>
    </w:lvl>
    <w:lvl w:ilvl="1" w:tplc="E7C65858">
      <w:start w:val="1"/>
      <w:numFmt w:val="bullet"/>
      <w:lvlText w:val=""/>
      <w:lvlJc w:val="left"/>
      <w:pPr>
        <w:ind w:left="1440" w:hanging="360"/>
      </w:pPr>
      <w:rPr>
        <w:rFonts w:ascii="Symbol" w:hAnsi="Symbol" w:hint="default"/>
      </w:rPr>
    </w:lvl>
    <w:lvl w:ilvl="2" w:tplc="A7BA1796">
      <w:start w:val="1"/>
      <w:numFmt w:val="lowerRoman"/>
      <w:lvlText w:val="%3."/>
      <w:lvlJc w:val="right"/>
      <w:pPr>
        <w:ind w:left="2160" w:hanging="180"/>
      </w:pPr>
    </w:lvl>
    <w:lvl w:ilvl="3" w:tplc="564C19A4">
      <w:start w:val="1"/>
      <w:numFmt w:val="lowerLetter"/>
      <w:lvlText w:val="%4."/>
      <w:lvlJc w:val="left"/>
      <w:pPr>
        <w:ind w:left="2880" w:hanging="360"/>
      </w:pPr>
      <w:rPr>
        <w:rFonts w:hint="default"/>
        <w:b/>
      </w:rPr>
    </w:lvl>
    <w:lvl w:ilvl="4" w:tplc="24AE95FA" w:tentative="1">
      <w:start w:val="1"/>
      <w:numFmt w:val="lowerLetter"/>
      <w:lvlText w:val="%5."/>
      <w:lvlJc w:val="left"/>
      <w:pPr>
        <w:ind w:left="3600" w:hanging="360"/>
      </w:pPr>
    </w:lvl>
    <w:lvl w:ilvl="5" w:tplc="14821C24" w:tentative="1">
      <w:start w:val="1"/>
      <w:numFmt w:val="lowerRoman"/>
      <w:lvlText w:val="%6."/>
      <w:lvlJc w:val="right"/>
      <w:pPr>
        <w:ind w:left="4320" w:hanging="180"/>
      </w:pPr>
    </w:lvl>
    <w:lvl w:ilvl="6" w:tplc="F6E43F06" w:tentative="1">
      <w:start w:val="1"/>
      <w:numFmt w:val="decimal"/>
      <w:lvlText w:val="%7."/>
      <w:lvlJc w:val="left"/>
      <w:pPr>
        <w:ind w:left="5040" w:hanging="360"/>
      </w:pPr>
    </w:lvl>
    <w:lvl w:ilvl="7" w:tplc="51F816C6" w:tentative="1">
      <w:start w:val="1"/>
      <w:numFmt w:val="lowerLetter"/>
      <w:lvlText w:val="%8."/>
      <w:lvlJc w:val="left"/>
      <w:pPr>
        <w:ind w:left="5760" w:hanging="360"/>
      </w:pPr>
    </w:lvl>
    <w:lvl w:ilvl="8" w:tplc="082CD59C" w:tentative="1">
      <w:start w:val="1"/>
      <w:numFmt w:val="lowerRoman"/>
      <w:lvlText w:val="%9."/>
      <w:lvlJc w:val="right"/>
      <w:pPr>
        <w:ind w:left="6480" w:hanging="180"/>
      </w:pPr>
    </w:lvl>
  </w:abstractNum>
  <w:abstractNum w:abstractNumId="54" w15:restartNumberingAfterBreak="0">
    <w:nsid w:val="724106C7"/>
    <w:multiLevelType w:val="hybridMultilevel"/>
    <w:tmpl w:val="6A523372"/>
    <w:lvl w:ilvl="0" w:tplc="2324731A">
      <w:start w:val="1"/>
      <w:numFmt w:val="bullet"/>
      <w:lvlText w:val=""/>
      <w:lvlJc w:val="left"/>
      <w:pPr>
        <w:ind w:left="720" w:hanging="360"/>
      </w:pPr>
      <w:rPr>
        <w:rFonts w:ascii="Symbol" w:hAnsi="Symbol" w:hint="default"/>
      </w:rPr>
    </w:lvl>
    <w:lvl w:ilvl="1" w:tplc="167CD0D4">
      <w:start w:val="1"/>
      <w:numFmt w:val="bullet"/>
      <w:lvlText w:val="o"/>
      <w:lvlJc w:val="left"/>
      <w:pPr>
        <w:ind w:left="1440" w:hanging="360"/>
      </w:pPr>
      <w:rPr>
        <w:rFonts w:ascii="Courier New" w:hAnsi="Courier New" w:cs="Courier New" w:hint="default"/>
      </w:rPr>
    </w:lvl>
    <w:lvl w:ilvl="2" w:tplc="098E050E">
      <w:start w:val="1"/>
      <w:numFmt w:val="bullet"/>
      <w:lvlText w:val=""/>
      <w:lvlJc w:val="left"/>
      <w:pPr>
        <w:ind w:left="2160" w:hanging="360"/>
      </w:pPr>
      <w:rPr>
        <w:rFonts w:ascii="Wingdings" w:hAnsi="Wingdings" w:hint="default"/>
      </w:rPr>
    </w:lvl>
    <w:lvl w:ilvl="3" w:tplc="6BE0F952">
      <w:start w:val="1"/>
      <w:numFmt w:val="bullet"/>
      <w:lvlText w:val=""/>
      <w:lvlJc w:val="left"/>
      <w:pPr>
        <w:ind w:left="2880" w:hanging="360"/>
      </w:pPr>
      <w:rPr>
        <w:rFonts w:ascii="Symbol" w:hAnsi="Symbol" w:hint="default"/>
      </w:rPr>
    </w:lvl>
    <w:lvl w:ilvl="4" w:tplc="62B66512">
      <w:start w:val="1"/>
      <w:numFmt w:val="bullet"/>
      <w:lvlText w:val="o"/>
      <w:lvlJc w:val="left"/>
      <w:pPr>
        <w:ind w:left="3600" w:hanging="360"/>
      </w:pPr>
      <w:rPr>
        <w:rFonts w:ascii="Courier New" w:hAnsi="Courier New" w:cs="Courier New" w:hint="default"/>
      </w:rPr>
    </w:lvl>
    <w:lvl w:ilvl="5" w:tplc="E820B352">
      <w:start w:val="1"/>
      <w:numFmt w:val="bullet"/>
      <w:lvlText w:val=""/>
      <w:lvlJc w:val="left"/>
      <w:pPr>
        <w:ind w:left="4320" w:hanging="360"/>
      </w:pPr>
      <w:rPr>
        <w:rFonts w:ascii="Wingdings" w:hAnsi="Wingdings" w:hint="default"/>
      </w:rPr>
    </w:lvl>
    <w:lvl w:ilvl="6" w:tplc="FAFE7454">
      <w:start w:val="1"/>
      <w:numFmt w:val="bullet"/>
      <w:lvlText w:val=""/>
      <w:lvlJc w:val="left"/>
      <w:pPr>
        <w:ind w:left="5040" w:hanging="360"/>
      </w:pPr>
      <w:rPr>
        <w:rFonts w:ascii="Symbol" w:hAnsi="Symbol" w:hint="default"/>
      </w:rPr>
    </w:lvl>
    <w:lvl w:ilvl="7" w:tplc="2C4CA38C">
      <w:start w:val="1"/>
      <w:numFmt w:val="bullet"/>
      <w:lvlText w:val="o"/>
      <w:lvlJc w:val="left"/>
      <w:pPr>
        <w:ind w:left="5760" w:hanging="360"/>
      </w:pPr>
      <w:rPr>
        <w:rFonts w:ascii="Courier New" w:hAnsi="Courier New" w:cs="Courier New" w:hint="default"/>
      </w:rPr>
    </w:lvl>
    <w:lvl w:ilvl="8" w:tplc="D52698FC">
      <w:start w:val="1"/>
      <w:numFmt w:val="bullet"/>
      <w:lvlText w:val=""/>
      <w:lvlJc w:val="left"/>
      <w:pPr>
        <w:ind w:left="6480" w:hanging="360"/>
      </w:pPr>
      <w:rPr>
        <w:rFonts w:ascii="Wingdings" w:hAnsi="Wingdings" w:hint="default"/>
      </w:rPr>
    </w:lvl>
  </w:abstractNum>
  <w:abstractNum w:abstractNumId="55" w15:restartNumberingAfterBreak="0">
    <w:nsid w:val="78081CC3"/>
    <w:multiLevelType w:val="hybridMultilevel"/>
    <w:tmpl w:val="FB0CBC84"/>
    <w:lvl w:ilvl="0" w:tplc="98601910">
      <w:start w:val="1"/>
      <w:numFmt w:val="decimal"/>
      <w:lvlText w:val="%1."/>
      <w:lvlJc w:val="left"/>
      <w:pPr>
        <w:ind w:left="720" w:hanging="360"/>
      </w:pPr>
      <w:rPr>
        <w:color w:val="auto"/>
      </w:rPr>
    </w:lvl>
    <w:lvl w:ilvl="1" w:tplc="FB5A62A4" w:tentative="1">
      <w:start w:val="1"/>
      <w:numFmt w:val="lowerLetter"/>
      <w:lvlText w:val="%2."/>
      <w:lvlJc w:val="left"/>
      <w:pPr>
        <w:ind w:left="1440" w:hanging="360"/>
      </w:pPr>
    </w:lvl>
    <w:lvl w:ilvl="2" w:tplc="8E56EBDA" w:tentative="1">
      <w:start w:val="1"/>
      <w:numFmt w:val="lowerRoman"/>
      <w:lvlText w:val="%3."/>
      <w:lvlJc w:val="right"/>
      <w:pPr>
        <w:ind w:left="2160" w:hanging="180"/>
      </w:pPr>
    </w:lvl>
    <w:lvl w:ilvl="3" w:tplc="922AF00A" w:tentative="1">
      <w:start w:val="1"/>
      <w:numFmt w:val="decimal"/>
      <w:lvlText w:val="%4."/>
      <w:lvlJc w:val="left"/>
      <w:pPr>
        <w:ind w:left="2880" w:hanging="360"/>
      </w:pPr>
    </w:lvl>
    <w:lvl w:ilvl="4" w:tplc="3D72AD22" w:tentative="1">
      <w:start w:val="1"/>
      <w:numFmt w:val="lowerLetter"/>
      <w:lvlText w:val="%5."/>
      <w:lvlJc w:val="left"/>
      <w:pPr>
        <w:ind w:left="3600" w:hanging="360"/>
      </w:pPr>
    </w:lvl>
    <w:lvl w:ilvl="5" w:tplc="84B0C1D6" w:tentative="1">
      <w:start w:val="1"/>
      <w:numFmt w:val="lowerRoman"/>
      <w:lvlText w:val="%6."/>
      <w:lvlJc w:val="right"/>
      <w:pPr>
        <w:ind w:left="4320" w:hanging="180"/>
      </w:pPr>
    </w:lvl>
    <w:lvl w:ilvl="6" w:tplc="D46CCC9E" w:tentative="1">
      <w:start w:val="1"/>
      <w:numFmt w:val="decimal"/>
      <w:lvlText w:val="%7."/>
      <w:lvlJc w:val="left"/>
      <w:pPr>
        <w:ind w:left="5040" w:hanging="360"/>
      </w:pPr>
    </w:lvl>
    <w:lvl w:ilvl="7" w:tplc="796CA10A" w:tentative="1">
      <w:start w:val="1"/>
      <w:numFmt w:val="lowerLetter"/>
      <w:lvlText w:val="%8."/>
      <w:lvlJc w:val="left"/>
      <w:pPr>
        <w:ind w:left="5760" w:hanging="360"/>
      </w:pPr>
    </w:lvl>
    <w:lvl w:ilvl="8" w:tplc="6D606E46" w:tentative="1">
      <w:start w:val="1"/>
      <w:numFmt w:val="lowerRoman"/>
      <w:lvlText w:val="%9."/>
      <w:lvlJc w:val="right"/>
      <w:pPr>
        <w:ind w:left="6480" w:hanging="180"/>
      </w:pPr>
    </w:lvl>
  </w:abstractNum>
  <w:abstractNum w:abstractNumId="56" w15:restartNumberingAfterBreak="0">
    <w:nsid w:val="7BCC04E1"/>
    <w:multiLevelType w:val="hybridMultilevel"/>
    <w:tmpl w:val="9498F57E"/>
    <w:lvl w:ilvl="0" w:tplc="0B727358">
      <w:start w:val="1"/>
      <w:numFmt w:val="bullet"/>
      <w:lvlText w:val=""/>
      <w:lvlJc w:val="left"/>
      <w:pPr>
        <w:tabs>
          <w:tab w:val="num" w:pos="947"/>
        </w:tabs>
        <w:ind w:left="814" w:hanging="227"/>
      </w:pPr>
      <w:rPr>
        <w:rFonts w:ascii="Symbol" w:hAnsi="Symbol" w:hint="default"/>
        <w:color w:val="auto"/>
      </w:rPr>
    </w:lvl>
    <w:lvl w:ilvl="1" w:tplc="66EABF5C">
      <w:start w:val="2"/>
      <w:numFmt w:val="bullet"/>
      <w:lvlText w:val="-"/>
      <w:lvlJc w:val="left"/>
      <w:pPr>
        <w:tabs>
          <w:tab w:val="num" w:pos="1667"/>
        </w:tabs>
        <w:ind w:left="1667" w:hanging="360"/>
      </w:pPr>
      <w:rPr>
        <w:rFonts w:ascii="Times New Roman" w:eastAsia="Times New Roman" w:hAnsi="Times New Roman" w:hint="default"/>
      </w:rPr>
    </w:lvl>
    <w:lvl w:ilvl="2" w:tplc="BED690F6" w:tentative="1">
      <w:start w:val="1"/>
      <w:numFmt w:val="lowerRoman"/>
      <w:lvlText w:val="%3."/>
      <w:lvlJc w:val="right"/>
      <w:pPr>
        <w:tabs>
          <w:tab w:val="num" w:pos="2387"/>
        </w:tabs>
        <w:ind w:left="2387" w:hanging="180"/>
      </w:pPr>
      <w:rPr>
        <w:rFonts w:cs="Times New Roman"/>
      </w:rPr>
    </w:lvl>
    <w:lvl w:ilvl="3" w:tplc="9C6A0C08" w:tentative="1">
      <w:start w:val="1"/>
      <w:numFmt w:val="decimal"/>
      <w:lvlText w:val="%4."/>
      <w:lvlJc w:val="left"/>
      <w:pPr>
        <w:tabs>
          <w:tab w:val="num" w:pos="3107"/>
        </w:tabs>
        <w:ind w:left="3107" w:hanging="360"/>
      </w:pPr>
      <w:rPr>
        <w:rFonts w:cs="Times New Roman"/>
      </w:rPr>
    </w:lvl>
    <w:lvl w:ilvl="4" w:tplc="0FE880DA" w:tentative="1">
      <w:start w:val="1"/>
      <w:numFmt w:val="lowerLetter"/>
      <w:lvlText w:val="%5."/>
      <w:lvlJc w:val="left"/>
      <w:pPr>
        <w:tabs>
          <w:tab w:val="num" w:pos="3827"/>
        </w:tabs>
        <w:ind w:left="3827" w:hanging="360"/>
      </w:pPr>
      <w:rPr>
        <w:rFonts w:cs="Times New Roman"/>
      </w:rPr>
    </w:lvl>
    <w:lvl w:ilvl="5" w:tplc="8C168BBC" w:tentative="1">
      <w:start w:val="1"/>
      <w:numFmt w:val="lowerRoman"/>
      <w:lvlText w:val="%6."/>
      <w:lvlJc w:val="right"/>
      <w:pPr>
        <w:tabs>
          <w:tab w:val="num" w:pos="4547"/>
        </w:tabs>
        <w:ind w:left="4547" w:hanging="180"/>
      </w:pPr>
      <w:rPr>
        <w:rFonts w:cs="Times New Roman"/>
      </w:rPr>
    </w:lvl>
    <w:lvl w:ilvl="6" w:tplc="0C58D5CA" w:tentative="1">
      <w:start w:val="1"/>
      <w:numFmt w:val="decimal"/>
      <w:lvlText w:val="%7."/>
      <w:lvlJc w:val="left"/>
      <w:pPr>
        <w:tabs>
          <w:tab w:val="num" w:pos="5267"/>
        </w:tabs>
        <w:ind w:left="5267" w:hanging="360"/>
      </w:pPr>
      <w:rPr>
        <w:rFonts w:cs="Times New Roman"/>
      </w:rPr>
    </w:lvl>
    <w:lvl w:ilvl="7" w:tplc="45D095AA" w:tentative="1">
      <w:start w:val="1"/>
      <w:numFmt w:val="lowerLetter"/>
      <w:lvlText w:val="%8."/>
      <w:lvlJc w:val="left"/>
      <w:pPr>
        <w:tabs>
          <w:tab w:val="num" w:pos="5987"/>
        </w:tabs>
        <w:ind w:left="5987" w:hanging="360"/>
      </w:pPr>
      <w:rPr>
        <w:rFonts w:cs="Times New Roman"/>
      </w:rPr>
    </w:lvl>
    <w:lvl w:ilvl="8" w:tplc="071867EA" w:tentative="1">
      <w:start w:val="1"/>
      <w:numFmt w:val="lowerRoman"/>
      <w:lvlText w:val="%9."/>
      <w:lvlJc w:val="right"/>
      <w:pPr>
        <w:tabs>
          <w:tab w:val="num" w:pos="6707"/>
        </w:tabs>
        <w:ind w:left="6707" w:hanging="180"/>
      </w:pPr>
      <w:rPr>
        <w:rFonts w:cs="Times New Roman"/>
      </w:rPr>
    </w:lvl>
  </w:abstractNum>
  <w:abstractNum w:abstractNumId="57" w15:restartNumberingAfterBreak="0">
    <w:nsid w:val="7D3C2C9F"/>
    <w:multiLevelType w:val="hybridMultilevel"/>
    <w:tmpl w:val="8AFEB4D8"/>
    <w:lvl w:ilvl="0" w:tplc="4340571A">
      <w:start w:val="1"/>
      <w:numFmt w:val="decimal"/>
      <w:lvlText w:val="%1."/>
      <w:lvlJc w:val="left"/>
      <w:pPr>
        <w:tabs>
          <w:tab w:val="num" w:pos="720"/>
        </w:tabs>
        <w:ind w:left="720" w:hanging="360"/>
      </w:pPr>
      <w:rPr>
        <w:rFonts w:cs="Times New Roman" w:hint="default"/>
        <w:b w:val="0"/>
        <w:i w:val="0"/>
        <w:strike w:val="0"/>
        <w:color w:val="auto"/>
      </w:rPr>
    </w:lvl>
    <w:lvl w:ilvl="1" w:tplc="F170E990">
      <w:start w:val="1"/>
      <w:numFmt w:val="lowerLetter"/>
      <w:lvlText w:val="%2."/>
      <w:lvlJc w:val="left"/>
      <w:pPr>
        <w:tabs>
          <w:tab w:val="num" w:pos="1440"/>
        </w:tabs>
        <w:ind w:left="1440" w:hanging="360"/>
      </w:pPr>
      <w:rPr>
        <w:rFonts w:cs="Times New Roman"/>
        <w:color w:val="auto"/>
      </w:rPr>
    </w:lvl>
    <w:lvl w:ilvl="2" w:tplc="E848BD0A">
      <w:start w:val="1"/>
      <w:numFmt w:val="decimal"/>
      <w:lvlText w:val="%3)"/>
      <w:lvlJc w:val="left"/>
      <w:pPr>
        <w:tabs>
          <w:tab w:val="num" w:pos="2415"/>
        </w:tabs>
        <w:ind w:left="2415" w:hanging="435"/>
      </w:pPr>
      <w:rPr>
        <w:rFonts w:cs="Times New Roman" w:hint="default"/>
      </w:rPr>
    </w:lvl>
    <w:lvl w:ilvl="3" w:tplc="C742A50A" w:tentative="1">
      <w:start w:val="1"/>
      <w:numFmt w:val="decimal"/>
      <w:lvlText w:val="%4."/>
      <w:lvlJc w:val="left"/>
      <w:pPr>
        <w:tabs>
          <w:tab w:val="num" w:pos="2880"/>
        </w:tabs>
        <w:ind w:left="2880" w:hanging="360"/>
      </w:pPr>
      <w:rPr>
        <w:rFonts w:cs="Times New Roman"/>
      </w:rPr>
    </w:lvl>
    <w:lvl w:ilvl="4" w:tplc="0CF8DFD0" w:tentative="1">
      <w:start w:val="1"/>
      <w:numFmt w:val="lowerLetter"/>
      <w:lvlText w:val="%5."/>
      <w:lvlJc w:val="left"/>
      <w:pPr>
        <w:tabs>
          <w:tab w:val="num" w:pos="3600"/>
        </w:tabs>
        <w:ind w:left="3600" w:hanging="360"/>
      </w:pPr>
      <w:rPr>
        <w:rFonts w:cs="Times New Roman"/>
      </w:rPr>
    </w:lvl>
    <w:lvl w:ilvl="5" w:tplc="D2E4F376" w:tentative="1">
      <w:start w:val="1"/>
      <w:numFmt w:val="lowerRoman"/>
      <w:lvlText w:val="%6."/>
      <w:lvlJc w:val="right"/>
      <w:pPr>
        <w:tabs>
          <w:tab w:val="num" w:pos="4320"/>
        </w:tabs>
        <w:ind w:left="4320" w:hanging="180"/>
      </w:pPr>
      <w:rPr>
        <w:rFonts w:cs="Times New Roman"/>
      </w:rPr>
    </w:lvl>
    <w:lvl w:ilvl="6" w:tplc="AB9610EA" w:tentative="1">
      <w:start w:val="1"/>
      <w:numFmt w:val="decimal"/>
      <w:lvlText w:val="%7."/>
      <w:lvlJc w:val="left"/>
      <w:pPr>
        <w:tabs>
          <w:tab w:val="num" w:pos="5040"/>
        </w:tabs>
        <w:ind w:left="5040" w:hanging="360"/>
      </w:pPr>
      <w:rPr>
        <w:rFonts w:cs="Times New Roman"/>
      </w:rPr>
    </w:lvl>
    <w:lvl w:ilvl="7" w:tplc="5AFE4812" w:tentative="1">
      <w:start w:val="1"/>
      <w:numFmt w:val="lowerLetter"/>
      <w:lvlText w:val="%8."/>
      <w:lvlJc w:val="left"/>
      <w:pPr>
        <w:tabs>
          <w:tab w:val="num" w:pos="5760"/>
        </w:tabs>
        <w:ind w:left="5760" w:hanging="360"/>
      </w:pPr>
      <w:rPr>
        <w:rFonts w:cs="Times New Roman"/>
      </w:rPr>
    </w:lvl>
    <w:lvl w:ilvl="8" w:tplc="7232813A" w:tentative="1">
      <w:start w:val="1"/>
      <w:numFmt w:val="lowerRoman"/>
      <w:lvlText w:val="%9."/>
      <w:lvlJc w:val="right"/>
      <w:pPr>
        <w:tabs>
          <w:tab w:val="num" w:pos="6480"/>
        </w:tabs>
        <w:ind w:left="6480" w:hanging="180"/>
      </w:pPr>
      <w:rPr>
        <w:rFonts w:cs="Times New Roman"/>
      </w:rPr>
    </w:lvl>
  </w:abstractNum>
  <w:num w:numId="1" w16cid:durableId="803355067">
    <w:abstractNumId w:val="1"/>
    <w:lvlOverride w:ilvl="0">
      <w:lvl w:ilvl="0">
        <w:start w:val="1"/>
        <w:numFmt w:val="bullet"/>
        <w:lvlText w:val=""/>
        <w:legacy w:legacy="1" w:legacySpace="0" w:legacyIndent="284"/>
        <w:lvlJc w:val="left"/>
        <w:pPr>
          <w:ind w:left="1004" w:hanging="284"/>
        </w:pPr>
        <w:rPr>
          <w:rFonts w:ascii="Symbol" w:hAnsi="Symbol" w:hint="default"/>
          <w:sz w:val="16"/>
        </w:rPr>
      </w:lvl>
    </w:lvlOverride>
  </w:num>
  <w:num w:numId="2" w16cid:durableId="419717635">
    <w:abstractNumId w:val="31"/>
  </w:num>
  <w:num w:numId="3" w16cid:durableId="1283801716">
    <w:abstractNumId w:val="28"/>
  </w:num>
  <w:num w:numId="4" w16cid:durableId="1754744546">
    <w:abstractNumId w:val="41"/>
  </w:num>
  <w:num w:numId="5" w16cid:durableId="1951820205">
    <w:abstractNumId w:val="57"/>
  </w:num>
  <w:num w:numId="6" w16cid:durableId="1415664886">
    <w:abstractNumId w:val="56"/>
  </w:num>
  <w:num w:numId="7" w16cid:durableId="1654791176">
    <w:abstractNumId w:val="17"/>
  </w:num>
  <w:num w:numId="8" w16cid:durableId="609554669">
    <w:abstractNumId w:val="50"/>
  </w:num>
  <w:num w:numId="9" w16cid:durableId="1228760950">
    <w:abstractNumId w:val="2"/>
  </w:num>
  <w:num w:numId="10" w16cid:durableId="46879194">
    <w:abstractNumId w:val="14"/>
  </w:num>
  <w:num w:numId="11" w16cid:durableId="827215209">
    <w:abstractNumId w:val="15"/>
  </w:num>
  <w:num w:numId="12" w16cid:durableId="1846704839">
    <w:abstractNumId w:val="33"/>
  </w:num>
  <w:num w:numId="13" w16cid:durableId="12995567">
    <w:abstractNumId w:val="36"/>
  </w:num>
  <w:num w:numId="14" w16cid:durableId="440615853">
    <w:abstractNumId w:val="26"/>
  </w:num>
  <w:num w:numId="15" w16cid:durableId="1077751803">
    <w:abstractNumId w:val="21"/>
  </w:num>
  <w:num w:numId="16" w16cid:durableId="1956323822">
    <w:abstractNumId w:val="8"/>
  </w:num>
  <w:num w:numId="17" w16cid:durableId="530344134">
    <w:abstractNumId w:val="53"/>
  </w:num>
  <w:num w:numId="18" w16cid:durableId="1476722810">
    <w:abstractNumId w:val="25"/>
  </w:num>
  <w:num w:numId="19" w16cid:durableId="451633482">
    <w:abstractNumId w:val="49"/>
  </w:num>
  <w:num w:numId="20" w16cid:durableId="219682238">
    <w:abstractNumId w:val="39"/>
  </w:num>
  <w:num w:numId="21" w16cid:durableId="543255133">
    <w:abstractNumId w:val="6"/>
  </w:num>
  <w:num w:numId="22" w16cid:durableId="1526871025">
    <w:abstractNumId w:val="18"/>
  </w:num>
  <w:num w:numId="23" w16cid:durableId="1126198472">
    <w:abstractNumId w:val="0"/>
  </w:num>
  <w:num w:numId="24" w16cid:durableId="848259030">
    <w:abstractNumId w:val="23"/>
  </w:num>
  <w:num w:numId="25" w16cid:durableId="13564666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66755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3614794">
    <w:abstractNumId w:val="7"/>
    <w:lvlOverride w:ilvl="0">
      <w:startOverride w:val="1"/>
    </w:lvlOverride>
  </w:num>
  <w:num w:numId="28" w16cid:durableId="502163482">
    <w:abstractNumId w:val="11"/>
  </w:num>
  <w:num w:numId="29" w16cid:durableId="936209325">
    <w:abstractNumId w:val="38"/>
  </w:num>
  <w:num w:numId="30" w16cid:durableId="804590485">
    <w:abstractNumId w:val="19"/>
  </w:num>
  <w:num w:numId="31" w16cid:durableId="784740232">
    <w:abstractNumId w:val="35"/>
  </w:num>
  <w:num w:numId="32" w16cid:durableId="1443837317">
    <w:abstractNumId w:val="3"/>
  </w:num>
  <w:num w:numId="33" w16cid:durableId="15980969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0569258">
    <w:abstractNumId w:val="42"/>
    <w:lvlOverride w:ilvl="0">
      <w:startOverride w:val="1"/>
    </w:lvlOverride>
  </w:num>
  <w:num w:numId="35" w16cid:durableId="1235239473">
    <w:abstractNumId w:val="44"/>
  </w:num>
  <w:num w:numId="36" w16cid:durableId="1378510508">
    <w:abstractNumId w:val="24"/>
  </w:num>
  <w:num w:numId="37" w16cid:durableId="391004834">
    <w:abstractNumId w:val="52"/>
  </w:num>
  <w:num w:numId="38" w16cid:durableId="296616751">
    <w:abstractNumId w:val="12"/>
  </w:num>
  <w:num w:numId="39" w16cid:durableId="1194223929">
    <w:abstractNumId w:val="46"/>
  </w:num>
  <w:num w:numId="40" w16cid:durableId="2120249343">
    <w:abstractNumId w:val="16"/>
  </w:num>
  <w:num w:numId="41" w16cid:durableId="1223950412">
    <w:abstractNumId w:val="47"/>
  </w:num>
  <w:num w:numId="42" w16cid:durableId="1687175768">
    <w:abstractNumId w:val="48"/>
  </w:num>
  <w:num w:numId="43" w16cid:durableId="1756974776">
    <w:abstractNumId w:val="45"/>
  </w:num>
  <w:num w:numId="44" w16cid:durableId="487406390">
    <w:abstractNumId w:val="40"/>
  </w:num>
  <w:num w:numId="45" w16cid:durableId="599141551">
    <w:abstractNumId w:val="20"/>
  </w:num>
  <w:num w:numId="46" w16cid:durableId="1340540269">
    <w:abstractNumId w:val="27"/>
  </w:num>
  <w:num w:numId="47" w16cid:durableId="1434086785">
    <w:abstractNumId w:val="4"/>
  </w:num>
  <w:num w:numId="48" w16cid:durableId="1900247373">
    <w:abstractNumId w:val="5"/>
  </w:num>
  <w:num w:numId="49" w16cid:durableId="1784181356">
    <w:abstractNumId w:val="43"/>
  </w:num>
  <w:num w:numId="50" w16cid:durableId="2711766">
    <w:abstractNumId w:val="54"/>
  </w:num>
  <w:num w:numId="51" w16cid:durableId="1606037813">
    <w:abstractNumId w:val="13"/>
  </w:num>
  <w:num w:numId="52" w16cid:durableId="836654519">
    <w:abstractNumId w:val="30"/>
  </w:num>
  <w:num w:numId="53" w16cid:durableId="547181638">
    <w:abstractNumId w:val="34"/>
  </w:num>
  <w:num w:numId="54" w16cid:durableId="97987179">
    <w:abstractNumId w:val="55"/>
  </w:num>
  <w:num w:numId="55" w16cid:durableId="1052734462">
    <w:abstractNumId w:val="51"/>
  </w:num>
  <w:num w:numId="56" w16cid:durableId="1066881558">
    <w:abstractNumId w:val="9"/>
  </w:num>
  <w:num w:numId="57" w16cid:durableId="1693990524">
    <w:abstractNumId w:val="22"/>
  </w:num>
  <w:num w:numId="58" w16cid:durableId="719478983">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B85"/>
    <w:rsid w:val="00006E5E"/>
    <w:rsid w:val="0001226A"/>
    <w:rsid w:val="00017CC8"/>
    <w:rsid w:val="00024EAF"/>
    <w:rsid w:val="0002597B"/>
    <w:rsid w:val="0003602C"/>
    <w:rsid w:val="00036F38"/>
    <w:rsid w:val="00044F2E"/>
    <w:rsid w:val="00045CEC"/>
    <w:rsid w:val="00053B73"/>
    <w:rsid w:val="000613D3"/>
    <w:rsid w:val="00070DF3"/>
    <w:rsid w:val="00092A52"/>
    <w:rsid w:val="00092D38"/>
    <w:rsid w:val="000963F8"/>
    <w:rsid w:val="000B1DC9"/>
    <w:rsid w:val="000C0A6A"/>
    <w:rsid w:val="000C1CD6"/>
    <w:rsid w:val="000D245F"/>
    <w:rsid w:val="000D71D7"/>
    <w:rsid w:val="000E74F8"/>
    <w:rsid w:val="000F4D6A"/>
    <w:rsid w:val="000F5CF8"/>
    <w:rsid w:val="00124706"/>
    <w:rsid w:val="00126BF0"/>
    <w:rsid w:val="00131346"/>
    <w:rsid w:val="00154CFA"/>
    <w:rsid w:val="00161A81"/>
    <w:rsid w:val="00173FB7"/>
    <w:rsid w:val="00183FD0"/>
    <w:rsid w:val="001940B3"/>
    <w:rsid w:val="001A363B"/>
    <w:rsid w:val="001A7EB5"/>
    <w:rsid w:val="001D4F84"/>
    <w:rsid w:val="001E5AC6"/>
    <w:rsid w:val="001E7B86"/>
    <w:rsid w:val="001F3655"/>
    <w:rsid w:val="00203B18"/>
    <w:rsid w:val="00207528"/>
    <w:rsid w:val="0021442C"/>
    <w:rsid w:val="00224597"/>
    <w:rsid w:val="002252C6"/>
    <w:rsid w:val="00235CB5"/>
    <w:rsid w:val="00263736"/>
    <w:rsid w:val="00285FAA"/>
    <w:rsid w:val="002902F2"/>
    <w:rsid w:val="00292768"/>
    <w:rsid w:val="00292DF0"/>
    <w:rsid w:val="00296E8C"/>
    <w:rsid w:val="002C47B4"/>
    <w:rsid w:val="002D0FD9"/>
    <w:rsid w:val="002E042B"/>
    <w:rsid w:val="002F1D6A"/>
    <w:rsid w:val="003078E7"/>
    <w:rsid w:val="00316B0A"/>
    <w:rsid w:val="00342383"/>
    <w:rsid w:val="00351A68"/>
    <w:rsid w:val="00356AC5"/>
    <w:rsid w:val="0037071C"/>
    <w:rsid w:val="00371F72"/>
    <w:rsid w:val="00380DE4"/>
    <w:rsid w:val="00390288"/>
    <w:rsid w:val="003D17D3"/>
    <w:rsid w:val="00416DEC"/>
    <w:rsid w:val="00421A63"/>
    <w:rsid w:val="00425441"/>
    <w:rsid w:val="004314C7"/>
    <w:rsid w:val="004364B0"/>
    <w:rsid w:val="00445DA3"/>
    <w:rsid w:val="004466E8"/>
    <w:rsid w:val="00484CB2"/>
    <w:rsid w:val="004A272C"/>
    <w:rsid w:val="004A32A5"/>
    <w:rsid w:val="004A3CFB"/>
    <w:rsid w:val="004B4949"/>
    <w:rsid w:val="004F106E"/>
    <w:rsid w:val="004F77EB"/>
    <w:rsid w:val="00507832"/>
    <w:rsid w:val="00514582"/>
    <w:rsid w:val="00515539"/>
    <w:rsid w:val="00535FDB"/>
    <w:rsid w:val="00542A9C"/>
    <w:rsid w:val="0056494F"/>
    <w:rsid w:val="005676E5"/>
    <w:rsid w:val="005B2C85"/>
    <w:rsid w:val="005B79F6"/>
    <w:rsid w:val="005E3620"/>
    <w:rsid w:val="005E4307"/>
    <w:rsid w:val="005E4B37"/>
    <w:rsid w:val="005E5A25"/>
    <w:rsid w:val="005F1A08"/>
    <w:rsid w:val="006043FC"/>
    <w:rsid w:val="00615BDE"/>
    <w:rsid w:val="0062056B"/>
    <w:rsid w:val="00625321"/>
    <w:rsid w:val="006254AD"/>
    <w:rsid w:val="00637229"/>
    <w:rsid w:val="006376EE"/>
    <w:rsid w:val="00675D5C"/>
    <w:rsid w:val="006769FA"/>
    <w:rsid w:val="00677646"/>
    <w:rsid w:val="006912D0"/>
    <w:rsid w:val="00696A5D"/>
    <w:rsid w:val="006A186C"/>
    <w:rsid w:val="006B7D03"/>
    <w:rsid w:val="006C0E93"/>
    <w:rsid w:val="006D41AC"/>
    <w:rsid w:val="006D6DFD"/>
    <w:rsid w:val="006E7DEB"/>
    <w:rsid w:val="006F6A18"/>
    <w:rsid w:val="007004E0"/>
    <w:rsid w:val="00702114"/>
    <w:rsid w:val="0072770B"/>
    <w:rsid w:val="00753D34"/>
    <w:rsid w:val="0075667C"/>
    <w:rsid w:val="00756E03"/>
    <w:rsid w:val="007824EF"/>
    <w:rsid w:val="007919AA"/>
    <w:rsid w:val="00792B65"/>
    <w:rsid w:val="007A19B0"/>
    <w:rsid w:val="007C08E6"/>
    <w:rsid w:val="007C65BB"/>
    <w:rsid w:val="007E15CF"/>
    <w:rsid w:val="007E419F"/>
    <w:rsid w:val="00803FAA"/>
    <w:rsid w:val="00804285"/>
    <w:rsid w:val="00806E9A"/>
    <w:rsid w:val="00811A8C"/>
    <w:rsid w:val="008348C1"/>
    <w:rsid w:val="008353F2"/>
    <w:rsid w:val="0084501B"/>
    <w:rsid w:val="008475A0"/>
    <w:rsid w:val="0085303A"/>
    <w:rsid w:val="0087774E"/>
    <w:rsid w:val="008805D4"/>
    <w:rsid w:val="008A24CF"/>
    <w:rsid w:val="008A7D92"/>
    <w:rsid w:val="008B6E73"/>
    <w:rsid w:val="008C384F"/>
    <w:rsid w:val="008C5A03"/>
    <w:rsid w:val="008C663B"/>
    <w:rsid w:val="008D10FF"/>
    <w:rsid w:val="008E4F20"/>
    <w:rsid w:val="008F0462"/>
    <w:rsid w:val="009228CB"/>
    <w:rsid w:val="00942396"/>
    <w:rsid w:val="009445FB"/>
    <w:rsid w:val="00966E39"/>
    <w:rsid w:val="00980708"/>
    <w:rsid w:val="00980F2D"/>
    <w:rsid w:val="00987D38"/>
    <w:rsid w:val="009A0AA4"/>
    <w:rsid w:val="009C4AF7"/>
    <w:rsid w:val="009F4CF9"/>
    <w:rsid w:val="00A044CB"/>
    <w:rsid w:val="00A12F30"/>
    <w:rsid w:val="00A16F87"/>
    <w:rsid w:val="00A22563"/>
    <w:rsid w:val="00A22F3D"/>
    <w:rsid w:val="00A237C7"/>
    <w:rsid w:val="00A279B6"/>
    <w:rsid w:val="00A33FAE"/>
    <w:rsid w:val="00A724BF"/>
    <w:rsid w:val="00AA06DE"/>
    <w:rsid w:val="00AA0A10"/>
    <w:rsid w:val="00AC33BB"/>
    <w:rsid w:val="00B02E25"/>
    <w:rsid w:val="00B13171"/>
    <w:rsid w:val="00B279C0"/>
    <w:rsid w:val="00B36C1A"/>
    <w:rsid w:val="00B45BC8"/>
    <w:rsid w:val="00B508E7"/>
    <w:rsid w:val="00B51040"/>
    <w:rsid w:val="00B66EDA"/>
    <w:rsid w:val="00B73A6F"/>
    <w:rsid w:val="00B73B8D"/>
    <w:rsid w:val="00BA2115"/>
    <w:rsid w:val="00BA6695"/>
    <w:rsid w:val="00BB0441"/>
    <w:rsid w:val="00BB1AEF"/>
    <w:rsid w:val="00BC2A71"/>
    <w:rsid w:val="00BC749D"/>
    <w:rsid w:val="00BD43B2"/>
    <w:rsid w:val="00C30484"/>
    <w:rsid w:val="00C36851"/>
    <w:rsid w:val="00C7522A"/>
    <w:rsid w:val="00C82B1C"/>
    <w:rsid w:val="00CA001E"/>
    <w:rsid w:val="00CA7D34"/>
    <w:rsid w:val="00CC7B2A"/>
    <w:rsid w:val="00CE54A1"/>
    <w:rsid w:val="00CF69B5"/>
    <w:rsid w:val="00D04234"/>
    <w:rsid w:val="00D07ABD"/>
    <w:rsid w:val="00D27E76"/>
    <w:rsid w:val="00D4390E"/>
    <w:rsid w:val="00D71F72"/>
    <w:rsid w:val="00D80885"/>
    <w:rsid w:val="00D978B6"/>
    <w:rsid w:val="00DA6E3A"/>
    <w:rsid w:val="00DC210F"/>
    <w:rsid w:val="00DC279A"/>
    <w:rsid w:val="00DC6B85"/>
    <w:rsid w:val="00DE164B"/>
    <w:rsid w:val="00DF497A"/>
    <w:rsid w:val="00DF677B"/>
    <w:rsid w:val="00E00BE7"/>
    <w:rsid w:val="00E47EBD"/>
    <w:rsid w:val="00E707D5"/>
    <w:rsid w:val="00E75C31"/>
    <w:rsid w:val="00E80458"/>
    <w:rsid w:val="00E80A64"/>
    <w:rsid w:val="00E8233C"/>
    <w:rsid w:val="00E9208F"/>
    <w:rsid w:val="00EA5673"/>
    <w:rsid w:val="00EB0AD1"/>
    <w:rsid w:val="00EB796A"/>
    <w:rsid w:val="00EC2051"/>
    <w:rsid w:val="00EC5F59"/>
    <w:rsid w:val="00ED3C83"/>
    <w:rsid w:val="00EE1D53"/>
    <w:rsid w:val="00EF5DE7"/>
    <w:rsid w:val="00EF68C2"/>
    <w:rsid w:val="00F13F89"/>
    <w:rsid w:val="00F370AF"/>
    <w:rsid w:val="00F541E0"/>
    <w:rsid w:val="00F56178"/>
    <w:rsid w:val="00F62836"/>
    <w:rsid w:val="00F93A43"/>
    <w:rsid w:val="00F97DEF"/>
    <w:rsid w:val="00FA0E69"/>
    <w:rsid w:val="00FB2BEE"/>
    <w:rsid w:val="00FB2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CA75B"/>
  <w15:docId w15:val="{48F410DF-DE1B-42A4-B733-ADCBCFF5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2" w:unhideWhenUsed="1" w:qFormat="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106"/>
    <w:rPr>
      <w:rFonts w:ascii="Arial" w:hAnsi="Arial"/>
      <w:spacing w:val="-5"/>
      <w:sz w:val="20"/>
      <w:szCs w:val="20"/>
      <w:lang w:eastAsia="en-US"/>
    </w:rPr>
  </w:style>
  <w:style w:type="paragraph" w:styleId="Heading1">
    <w:name w:val="heading 1"/>
    <w:basedOn w:val="Normal"/>
    <w:next w:val="Normal"/>
    <w:link w:val="Heading1Char"/>
    <w:uiPriority w:val="99"/>
    <w:qFormat/>
    <w:rsid w:val="000F4D6A"/>
    <w:pPr>
      <w:keepNext/>
      <w:outlineLvl w:val="0"/>
    </w:pPr>
    <w:rPr>
      <w:rFonts w:ascii="Times New Roman" w:hAnsi="Times New Roman"/>
      <w:b/>
      <w:spacing w:val="0"/>
      <w:sz w:val="24"/>
      <w:szCs w:val="24"/>
    </w:rPr>
  </w:style>
  <w:style w:type="paragraph" w:styleId="Heading2">
    <w:name w:val="heading 2"/>
    <w:basedOn w:val="Normal"/>
    <w:next w:val="Normal"/>
    <w:link w:val="Heading2Char"/>
    <w:uiPriority w:val="99"/>
    <w:qFormat/>
    <w:rsid w:val="000F4D6A"/>
    <w:pPr>
      <w:keepNext/>
      <w:outlineLvl w:val="1"/>
    </w:pPr>
    <w:rPr>
      <w:rFonts w:ascii="Times New Roman" w:hAnsi="Times New Roman"/>
      <w:b/>
      <w:spacing w:val="0"/>
      <w:szCs w:val="24"/>
      <w:lang w:val="en-US"/>
    </w:rPr>
  </w:style>
  <w:style w:type="paragraph" w:styleId="Heading3">
    <w:name w:val="heading 3"/>
    <w:basedOn w:val="Normal"/>
    <w:next w:val="Normal"/>
    <w:link w:val="Heading3Char"/>
    <w:uiPriority w:val="99"/>
    <w:qFormat/>
    <w:rsid w:val="000F4D6A"/>
    <w:pPr>
      <w:keepNext/>
      <w:outlineLvl w:val="2"/>
    </w:pPr>
    <w:rPr>
      <w:rFonts w:ascii="Times New Roman" w:hAnsi="Times New Roman"/>
      <w:b/>
      <w:spacing w:val="0"/>
      <w:sz w:val="22"/>
      <w:szCs w:val="24"/>
      <w:u w:val="single"/>
    </w:rPr>
  </w:style>
  <w:style w:type="paragraph" w:styleId="Heading4">
    <w:name w:val="heading 4"/>
    <w:basedOn w:val="Normal"/>
    <w:next w:val="Normal"/>
    <w:link w:val="Heading4Char"/>
    <w:uiPriority w:val="99"/>
    <w:qFormat/>
    <w:rsid w:val="000F4D6A"/>
    <w:pPr>
      <w:keepNext/>
      <w:outlineLvl w:val="3"/>
    </w:pPr>
    <w:rPr>
      <w:rFonts w:ascii="Times New Roman" w:hAnsi="Times New Roman"/>
      <w:b/>
      <w:bCs/>
      <w:spacing w:val="0"/>
      <w:sz w:val="22"/>
      <w:szCs w:val="24"/>
    </w:rPr>
  </w:style>
  <w:style w:type="paragraph" w:styleId="Heading5">
    <w:name w:val="heading 5"/>
    <w:basedOn w:val="Normal"/>
    <w:next w:val="Normal"/>
    <w:link w:val="Heading5Char"/>
    <w:uiPriority w:val="99"/>
    <w:qFormat/>
    <w:rsid w:val="000F4D6A"/>
    <w:pPr>
      <w:keepNext/>
      <w:tabs>
        <w:tab w:val="left" w:pos="1418"/>
      </w:tabs>
      <w:ind w:left="1418"/>
      <w:outlineLvl w:val="4"/>
    </w:pPr>
    <w:rPr>
      <w:rFonts w:cs="Arial"/>
      <w:b/>
      <w:bCs/>
      <w:spacing w:val="0"/>
      <w:szCs w:val="24"/>
    </w:rPr>
  </w:style>
  <w:style w:type="paragraph" w:styleId="Heading6">
    <w:name w:val="heading 6"/>
    <w:basedOn w:val="Normal"/>
    <w:next w:val="Normal"/>
    <w:link w:val="Heading6Char"/>
    <w:uiPriority w:val="99"/>
    <w:qFormat/>
    <w:rsid w:val="000F4D6A"/>
    <w:pPr>
      <w:spacing w:before="240" w:after="60"/>
      <w:outlineLvl w:val="5"/>
    </w:pPr>
    <w:rPr>
      <w:rFonts w:ascii="Times New Roman" w:hAnsi="Times New Roman"/>
      <w:b/>
      <w:bCs/>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0B7BCF"/>
    <w:rPr>
      <w:rFonts w:cs="Times New Roman"/>
      <w:b/>
      <w:sz w:val="24"/>
      <w:szCs w:val="24"/>
      <w:lang w:eastAsia="en-US"/>
    </w:rPr>
  </w:style>
  <w:style w:type="character" w:customStyle="1" w:styleId="Heading2Char">
    <w:name w:val="Heading 2 Char"/>
    <w:basedOn w:val="DefaultParagraphFont"/>
    <w:link w:val="Heading2"/>
    <w:uiPriority w:val="99"/>
    <w:semiHidden/>
    <w:locked/>
    <w:rsid w:val="00BD14A9"/>
    <w:rPr>
      <w:rFonts w:ascii="Cambria" w:hAnsi="Cambria" w:cs="Times New Roman"/>
      <w:b/>
      <w:bCs/>
      <w:i/>
      <w:iCs/>
      <w:spacing w:val="-5"/>
      <w:sz w:val="28"/>
      <w:szCs w:val="28"/>
      <w:lang w:eastAsia="en-US"/>
    </w:rPr>
  </w:style>
  <w:style w:type="character" w:customStyle="1" w:styleId="Heading3Char">
    <w:name w:val="Heading 3 Char"/>
    <w:basedOn w:val="DefaultParagraphFont"/>
    <w:link w:val="Heading3"/>
    <w:uiPriority w:val="99"/>
    <w:semiHidden/>
    <w:locked/>
    <w:rsid w:val="00BD14A9"/>
    <w:rPr>
      <w:rFonts w:ascii="Cambria" w:hAnsi="Cambria" w:cs="Times New Roman"/>
      <w:b/>
      <w:bCs/>
      <w:spacing w:val="-5"/>
      <w:sz w:val="26"/>
      <w:szCs w:val="26"/>
      <w:lang w:eastAsia="en-US"/>
    </w:rPr>
  </w:style>
  <w:style w:type="character" w:customStyle="1" w:styleId="Heading4Char">
    <w:name w:val="Heading 4 Char"/>
    <w:basedOn w:val="DefaultParagraphFont"/>
    <w:link w:val="Heading4"/>
    <w:uiPriority w:val="99"/>
    <w:semiHidden/>
    <w:locked/>
    <w:rsid w:val="00BD14A9"/>
    <w:rPr>
      <w:rFonts w:ascii="Calibri" w:hAnsi="Calibri" w:cs="Times New Roman"/>
      <w:b/>
      <w:bCs/>
      <w:spacing w:val="-5"/>
      <w:sz w:val="28"/>
      <w:szCs w:val="28"/>
      <w:lang w:eastAsia="en-US"/>
    </w:rPr>
  </w:style>
  <w:style w:type="character" w:customStyle="1" w:styleId="Heading5Char">
    <w:name w:val="Heading 5 Char"/>
    <w:basedOn w:val="DefaultParagraphFont"/>
    <w:link w:val="Heading5"/>
    <w:uiPriority w:val="99"/>
    <w:semiHidden/>
    <w:locked/>
    <w:rsid w:val="00BD14A9"/>
    <w:rPr>
      <w:rFonts w:ascii="Calibri" w:hAnsi="Calibri" w:cs="Times New Roman"/>
      <w:b/>
      <w:bCs/>
      <w:i/>
      <w:iCs/>
      <w:spacing w:val="-5"/>
      <w:sz w:val="26"/>
      <w:szCs w:val="26"/>
      <w:lang w:eastAsia="en-US"/>
    </w:rPr>
  </w:style>
  <w:style w:type="character" w:customStyle="1" w:styleId="Heading6Char">
    <w:name w:val="Heading 6 Char"/>
    <w:basedOn w:val="DefaultParagraphFont"/>
    <w:link w:val="Heading6"/>
    <w:uiPriority w:val="99"/>
    <w:semiHidden/>
    <w:locked/>
    <w:rsid w:val="00BD14A9"/>
    <w:rPr>
      <w:rFonts w:ascii="Calibri" w:hAnsi="Calibri" w:cs="Times New Roman"/>
      <w:b/>
      <w:bCs/>
      <w:spacing w:val="-5"/>
      <w:lang w:eastAsia="en-US"/>
    </w:rPr>
  </w:style>
  <w:style w:type="paragraph" w:styleId="Header">
    <w:name w:val="header"/>
    <w:basedOn w:val="Normal"/>
    <w:link w:val="HeaderChar"/>
    <w:uiPriority w:val="99"/>
    <w:rsid w:val="00FF3216"/>
    <w:pPr>
      <w:tabs>
        <w:tab w:val="center" w:pos="4153"/>
        <w:tab w:val="right" w:pos="8306"/>
      </w:tabs>
    </w:pPr>
  </w:style>
  <w:style w:type="character" w:customStyle="1" w:styleId="HeaderChar">
    <w:name w:val="Header Char"/>
    <w:basedOn w:val="DefaultParagraphFont"/>
    <w:link w:val="Header"/>
    <w:uiPriority w:val="99"/>
    <w:locked/>
    <w:rsid w:val="00BD14A9"/>
    <w:rPr>
      <w:rFonts w:ascii="Arial" w:hAnsi="Arial" w:cs="Times New Roman"/>
      <w:spacing w:val="-5"/>
      <w:sz w:val="20"/>
      <w:szCs w:val="20"/>
      <w:lang w:eastAsia="en-US"/>
    </w:rPr>
  </w:style>
  <w:style w:type="paragraph" w:styleId="Footer">
    <w:name w:val="footer"/>
    <w:basedOn w:val="Normal"/>
    <w:link w:val="FooterChar"/>
    <w:uiPriority w:val="99"/>
    <w:semiHidden/>
    <w:rsid w:val="00FF3216"/>
    <w:pPr>
      <w:tabs>
        <w:tab w:val="center" w:pos="4153"/>
        <w:tab w:val="right" w:pos="8306"/>
      </w:tabs>
    </w:pPr>
  </w:style>
  <w:style w:type="character" w:customStyle="1" w:styleId="FooterChar">
    <w:name w:val="Footer Char"/>
    <w:basedOn w:val="DefaultParagraphFont"/>
    <w:link w:val="Footer"/>
    <w:uiPriority w:val="99"/>
    <w:semiHidden/>
    <w:locked/>
    <w:rsid w:val="00BD14A9"/>
    <w:rPr>
      <w:rFonts w:ascii="Arial" w:hAnsi="Arial" w:cs="Times New Roman"/>
      <w:spacing w:val="-5"/>
      <w:sz w:val="20"/>
      <w:szCs w:val="20"/>
      <w:lang w:eastAsia="en-US"/>
    </w:rPr>
  </w:style>
  <w:style w:type="paragraph" w:customStyle="1" w:styleId="FooterAssetFinanceflyers">
    <w:name w:val="Footer (Asset Finance flyers)"/>
    <w:basedOn w:val="Normal"/>
    <w:uiPriority w:val="99"/>
    <w:semiHidden/>
    <w:rsid w:val="00B82651"/>
    <w:pPr>
      <w:suppressAutoHyphens/>
      <w:autoSpaceDE w:val="0"/>
      <w:autoSpaceDN w:val="0"/>
      <w:adjustRightInd w:val="0"/>
      <w:spacing w:line="200" w:lineRule="atLeast"/>
      <w:jc w:val="both"/>
      <w:textAlignment w:val="center"/>
    </w:pPr>
    <w:rPr>
      <w:rFonts w:ascii="Bliss 2 Regular" w:hAnsi="Bliss 2 Regular" w:cs="Bliss 2 Regular"/>
      <w:color w:val="006792"/>
      <w:sz w:val="16"/>
      <w:szCs w:val="16"/>
    </w:rPr>
  </w:style>
  <w:style w:type="character" w:styleId="PageNumber">
    <w:name w:val="page number"/>
    <w:basedOn w:val="DefaultParagraphFont"/>
    <w:uiPriority w:val="99"/>
    <w:semiHidden/>
    <w:rsid w:val="004A3CFB"/>
    <w:rPr>
      <w:rFonts w:cs="Times New Roman"/>
    </w:rPr>
  </w:style>
  <w:style w:type="paragraph" w:styleId="BodyText">
    <w:name w:val="Body Text"/>
    <w:basedOn w:val="Normal"/>
    <w:link w:val="BodyTextChar"/>
    <w:uiPriority w:val="99"/>
    <w:rsid w:val="000F4D6A"/>
    <w:rPr>
      <w:rFonts w:ascii="Times New Roman" w:hAnsi="Times New Roman"/>
      <w:spacing w:val="0"/>
      <w:sz w:val="24"/>
      <w:szCs w:val="24"/>
      <w:lang w:val="en-US"/>
    </w:rPr>
  </w:style>
  <w:style w:type="character" w:customStyle="1" w:styleId="BodyTextChar">
    <w:name w:val="Body Text Char"/>
    <w:basedOn w:val="DefaultParagraphFont"/>
    <w:link w:val="BodyText"/>
    <w:uiPriority w:val="99"/>
    <w:locked/>
    <w:rsid w:val="000B7BCF"/>
    <w:rPr>
      <w:rFonts w:cs="Times New Roman"/>
      <w:sz w:val="24"/>
      <w:szCs w:val="24"/>
      <w:lang w:val="en-US" w:eastAsia="en-US"/>
    </w:rPr>
  </w:style>
  <w:style w:type="paragraph" w:styleId="BodyText2">
    <w:name w:val="Body Text 2"/>
    <w:basedOn w:val="Normal"/>
    <w:link w:val="BodyText2Char"/>
    <w:uiPriority w:val="99"/>
    <w:semiHidden/>
    <w:rsid w:val="000F4D6A"/>
    <w:rPr>
      <w:rFonts w:ascii="Times New Roman" w:hAnsi="Times New Roman"/>
      <w:spacing w:val="0"/>
      <w:sz w:val="22"/>
      <w:szCs w:val="24"/>
    </w:rPr>
  </w:style>
  <w:style w:type="character" w:customStyle="1" w:styleId="BodyText2Char">
    <w:name w:val="Body Text 2 Char"/>
    <w:basedOn w:val="DefaultParagraphFont"/>
    <w:link w:val="BodyText2"/>
    <w:uiPriority w:val="99"/>
    <w:semiHidden/>
    <w:locked/>
    <w:rsid w:val="00BD14A9"/>
    <w:rPr>
      <w:rFonts w:ascii="Arial" w:hAnsi="Arial" w:cs="Times New Roman"/>
      <w:spacing w:val="-5"/>
      <w:sz w:val="20"/>
      <w:szCs w:val="20"/>
      <w:lang w:eastAsia="en-US"/>
    </w:rPr>
  </w:style>
  <w:style w:type="character" w:styleId="Hyperlink">
    <w:name w:val="Hyperlink"/>
    <w:basedOn w:val="DefaultParagraphFont"/>
    <w:uiPriority w:val="99"/>
    <w:rsid w:val="000F4D6A"/>
    <w:rPr>
      <w:rFonts w:cs="Times New Roman"/>
      <w:color w:val="0000FF"/>
      <w:u w:val="single"/>
    </w:rPr>
  </w:style>
  <w:style w:type="paragraph" w:styleId="BodyText3">
    <w:name w:val="Body Text 3"/>
    <w:basedOn w:val="Normal"/>
    <w:link w:val="BodyText3Char"/>
    <w:uiPriority w:val="99"/>
    <w:semiHidden/>
    <w:rsid w:val="000F4D6A"/>
    <w:rPr>
      <w:rFonts w:ascii="Times New Roman" w:hAnsi="Times New Roman"/>
      <w:i/>
      <w:iCs/>
      <w:spacing w:val="0"/>
      <w:sz w:val="22"/>
      <w:szCs w:val="24"/>
    </w:rPr>
  </w:style>
  <w:style w:type="character" w:customStyle="1" w:styleId="BodyText3Char">
    <w:name w:val="Body Text 3 Char"/>
    <w:basedOn w:val="DefaultParagraphFont"/>
    <w:link w:val="BodyText3"/>
    <w:uiPriority w:val="99"/>
    <w:semiHidden/>
    <w:locked/>
    <w:rsid w:val="00BD14A9"/>
    <w:rPr>
      <w:rFonts w:ascii="Arial" w:hAnsi="Arial" w:cs="Times New Roman"/>
      <w:spacing w:val="-5"/>
      <w:sz w:val="16"/>
      <w:szCs w:val="16"/>
      <w:lang w:eastAsia="en-US"/>
    </w:rPr>
  </w:style>
  <w:style w:type="character" w:styleId="FollowedHyperlink">
    <w:name w:val="FollowedHyperlink"/>
    <w:basedOn w:val="DefaultParagraphFont"/>
    <w:uiPriority w:val="99"/>
    <w:semiHidden/>
    <w:rsid w:val="000F4D6A"/>
    <w:rPr>
      <w:rFonts w:cs="Times New Roman"/>
      <w:color w:val="800080"/>
      <w:u w:val="single"/>
    </w:rPr>
  </w:style>
  <w:style w:type="character" w:styleId="Emphasis">
    <w:name w:val="Emphasis"/>
    <w:basedOn w:val="DefaultParagraphFont"/>
    <w:uiPriority w:val="99"/>
    <w:qFormat/>
    <w:rsid w:val="000F4D6A"/>
    <w:rPr>
      <w:rFonts w:cs="Times New Roman"/>
      <w:i/>
      <w:iCs/>
    </w:rPr>
  </w:style>
  <w:style w:type="paragraph" w:styleId="BalloonText">
    <w:name w:val="Balloon Text"/>
    <w:basedOn w:val="Normal"/>
    <w:link w:val="BalloonTextChar"/>
    <w:uiPriority w:val="99"/>
    <w:semiHidden/>
    <w:rsid w:val="000F4D6A"/>
    <w:rPr>
      <w:rFonts w:ascii="Tahoma" w:hAnsi="Tahoma" w:cs="Tahoma"/>
      <w:spacing w:val="0"/>
      <w:sz w:val="16"/>
      <w:szCs w:val="16"/>
    </w:rPr>
  </w:style>
  <w:style w:type="character" w:customStyle="1" w:styleId="BalloonTextChar">
    <w:name w:val="Balloon Text Char"/>
    <w:basedOn w:val="DefaultParagraphFont"/>
    <w:link w:val="BalloonText"/>
    <w:uiPriority w:val="99"/>
    <w:semiHidden/>
    <w:locked/>
    <w:rsid w:val="00BD14A9"/>
    <w:rPr>
      <w:rFonts w:cs="Times New Roman"/>
      <w:spacing w:val="-5"/>
      <w:sz w:val="2"/>
      <w:lang w:eastAsia="en-US"/>
    </w:rPr>
  </w:style>
  <w:style w:type="paragraph" w:styleId="BodyTextIndent">
    <w:name w:val="Body Text Indent"/>
    <w:basedOn w:val="Normal"/>
    <w:link w:val="BodyTextIndentChar"/>
    <w:uiPriority w:val="99"/>
    <w:semiHidden/>
    <w:rsid w:val="000F4D6A"/>
    <w:pPr>
      <w:autoSpaceDE w:val="0"/>
      <w:autoSpaceDN w:val="0"/>
      <w:adjustRightInd w:val="0"/>
      <w:ind w:left="720"/>
      <w:jc w:val="both"/>
    </w:pPr>
    <w:rPr>
      <w:rFonts w:cs="Arial"/>
      <w:b/>
      <w:bCs/>
      <w:color w:val="FF0000"/>
      <w:spacing w:val="0"/>
      <w:sz w:val="24"/>
      <w:szCs w:val="24"/>
      <w:lang w:eastAsia="en-GB"/>
    </w:rPr>
  </w:style>
  <w:style w:type="character" w:customStyle="1" w:styleId="BodyTextIndentChar">
    <w:name w:val="Body Text Indent Char"/>
    <w:basedOn w:val="DefaultParagraphFont"/>
    <w:link w:val="BodyTextIndent"/>
    <w:uiPriority w:val="99"/>
    <w:semiHidden/>
    <w:locked/>
    <w:rsid w:val="00BD14A9"/>
    <w:rPr>
      <w:rFonts w:ascii="Arial" w:hAnsi="Arial" w:cs="Times New Roman"/>
      <w:spacing w:val="-5"/>
      <w:sz w:val="20"/>
      <w:szCs w:val="20"/>
      <w:lang w:eastAsia="en-US"/>
    </w:rPr>
  </w:style>
  <w:style w:type="character" w:customStyle="1" w:styleId="normaltext1">
    <w:name w:val="normaltext1"/>
    <w:basedOn w:val="DefaultParagraphFont"/>
    <w:uiPriority w:val="99"/>
    <w:semiHidden/>
    <w:rsid w:val="000F4D6A"/>
    <w:rPr>
      <w:rFonts w:ascii="Arial" w:hAnsi="Arial" w:cs="Arial"/>
      <w:color w:val="666666"/>
      <w:sz w:val="13"/>
      <w:szCs w:val="13"/>
    </w:rPr>
  </w:style>
  <w:style w:type="character" w:customStyle="1" w:styleId="enquiry1">
    <w:name w:val="enquiry1"/>
    <w:basedOn w:val="DefaultParagraphFont"/>
    <w:uiPriority w:val="99"/>
    <w:semiHidden/>
    <w:rsid w:val="000F4D6A"/>
    <w:rPr>
      <w:rFonts w:ascii="Verdana" w:hAnsi="Verdana" w:cs="Times New Roman"/>
      <w:color w:val="333366"/>
      <w:sz w:val="15"/>
      <w:szCs w:val="15"/>
      <w:u w:val="none"/>
      <w:effect w:val="none"/>
    </w:rPr>
  </w:style>
  <w:style w:type="character" w:customStyle="1" w:styleId="EmailStyle42">
    <w:name w:val="EmailStyle42"/>
    <w:basedOn w:val="DefaultParagraphFont"/>
    <w:uiPriority w:val="99"/>
    <w:semiHidden/>
    <w:rsid w:val="000F4D6A"/>
    <w:rPr>
      <w:rFonts w:ascii="Arial" w:hAnsi="Arial" w:cs="Arial"/>
      <w:color w:val="000000"/>
      <w:sz w:val="20"/>
    </w:rPr>
  </w:style>
  <w:style w:type="character" w:customStyle="1" w:styleId="EmailStyle43">
    <w:name w:val="EmailStyle43"/>
    <w:basedOn w:val="DefaultParagraphFont"/>
    <w:uiPriority w:val="99"/>
    <w:semiHidden/>
    <w:rsid w:val="000F4D6A"/>
    <w:rPr>
      <w:rFonts w:ascii="Arial" w:hAnsi="Arial" w:cs="Arial"/>
      <w:color w:val="000080"/>
      <w:sz w:val="20"/>
    </w:rPr>
  </w:style>
  <w:style w:type="table" w:styleId="TableGrid">
    <w:name w:val="Table Grid"/>
    <w:basedOn w:val="TableNormal"/>
    <w:uiPriority w:val="99"/>
    <w:rsid w:val="000F4D6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rsid w:val="000F4D6A"/>
    <w:pPr>
      <w:spacing w:after="120" w:line="480" w:lineRule="auto"/>
      <w:ind w:left="283"/>
    </w:pPr>
    <w:rPr>
      <w:rFonts w:ascii="Times New Roman" w:hAnsi="Times New Roman"/>
      <w:spacing w:val="0"/>
      <w:sz w:val="24"/>
      <w:szCs w:val="24"/>
    </w:rPr>
  </w:style>
  <w:style w:type="character" w:customStyle="1" w:styleId="BodyTextIndent2Char">
    <w:name w:val="Body Text Indent 2 Char"/>
    <w:basedOn w:val="DefaultParagraphFont"/>
    <w:link w:val="BodyTextIndent2"/>
    <w:uiPriority w:val="99"/>
    <w:semiHidden/>
    <w:locked/>
    <w:rsid w:val="00BD14A9"/>
    <w:rPr>
      <w:rFonts w:ascii="Arial" w:hAnsi="Arial" w:cs="Times New Roman"/>
      <w:spacing w:val="-5"/>
      <w:sz w:val="20"/>
      <w:szCs w:val="20"/>
      <w:lang w:eastAsia="en-US"/>
    </w:rPr>
  </w:style>
  <w:style w:type="character" w:customStyle="1" w:styleId="EmailStyle47">
    <w:name w:val="EmailStyle47"/>
    <w:basedOn w:val="DefaultParagraphFont"/>
    <w:uiPriority w:val="99"/>
    <w:semiHidden/>
    <w:rsid w:val="000F4D6A"/>
    <w:rPr>
      <w:rFonts w:ascii="Arial" w:hAnsi="Arial" w:cs="Arial"/>
      <w:color w:val="auto"/>
      <w:sz w:val="20"/>
      <w:szCs w:val="20"/>
    </w:rPr>
  </w:style>
  <w:style w:type="paragraph" w:styleId="NormalWeb">
    <w:name w:val="Normal (Web)"/>
    <w:basedOn w:val="Normal"/>
    <w:uiPriority w:val="99"/>
    <w:rsid w:val="009955B8"/>
    <w:pPr>
      <w:spacing w:before="100" w:beforeAutospacing="1" w:after="100" w:afterAutospacing="1"/>
    </w:pPr>
    <w:rPr>
      <w:rFonts w:ascii="Times New Roman" w:hAnsi="Times New Roman"/>
      <w:spacing w:val="0"/>
      <w:sz w:val="24"/>
      <w:szCs w:val="24"/>
      <w:lang w:eastAsia="en-GB"/>
    </w:rPr>
  </w:style>
  <w:style w:type="paragraph" w:styleId="ListParagraph">
    <w:name w:val="List Paragraph"/>
    <w:basedOn w:val="Normal"/>
    <w:uiPriority w:val="34"/>
    <w:qFormat/>
    <w:rsid w:val="00C117D8"/>
    <w:pPr>
      <w:ind w:left="720"/>
    </w:pPr>
    <w:rPr>
      <w:rFonts w:ascii="Calibri" w:hAnsi="Calibri"/>
      <w:spacing w:val="0"/>
      <w:sz w:val="22"/>
      <w:szCs w:val="22"/>
      <w:lang w:eastAsia="en-GB"/>
    </w:rPr>
  </w:style>
  <w:style w:type="paragraph" w:customStyle="1" w:styleId="ChapterHeading">
    <w:name w:val="Chapter Heading"/>
    <w:basedOn w:val="Normal"/>
    <w:link w:val="ChapterHeadingChar"/>
    <w:uiPriority w:val="99"/>
    <w:semiHidden/>
    <w:rsid w:val="000B7BCF"/>
    <w:pPr>
      <w:pageBreakBefore/>
      <w:numPr>
        <w:numId w:val="13"/>
      </w:numPr>
      <w:spacing w:before="120" w:after="120"/>
      <w:jc w:val="both"/>
    </w:pPr>
    <w:rPr>
      <w:rFonts w:ascii="Calibri" w:hAnsi="Calibri" w:cs="Arial"/>
      <w:b/>
      <w:noProof/>
      <w:sz w:val="36"/>
      <w:szCs w:val="36"/>
    </w:rPr>
  </w:style>
  <w:style w:type="paragraph" w:customStyle="1" w:styleId="Subheading">
    <w:name w:val="Subheading"/>
    <w:basedOn w:val="BodyText"/>
    <w:link w:val="SubheadingChar"/>
    <w:uiPriority w:val="99"/>
    <w:semiHidden/>
    <w:rsid w:val="000B7BCF"/>
    <w:pPr>
      <w:numPr>
        <w:ilvl w:val="1"/>
        <w:numId w:val="13"/>
      </w:numPr>
      <w:spacing w:before="270" w:after="180"/>
      <w:jc w:val="both"/>
    </w:pPr>
    <w:rPr>
      <w:rFonts w:ascii="Arial" w:hAnsi="Arial" w:cs="Arial"/>
      <w:b/>
      <w:noProof/>
      <w:sz w:val="22"/>
      <w:szCs w:val="22"/>
      <w:lang w:val="en-GB"/>
    </w:rPr>
  </w:style>
  <w:style w:type="paragraph" w:customStyle="1" w:styleId="Heading">
    <w:name w:val="Heading"/>
    <w:basedOn w:val="ChapterHeading"/>
    <w:link w:val="HeadingChar"/>
    <w:uiPriority w:val="99"/>
    <w:rsid w:val="00C40C69"/>
    <w:pPr>
      <w:pageBreakBefore w:val="0"/>
    </w:pPr>
  </w:style>
  <w:style w:type="paragraph" w:customStyle="1" w:styleId="subhead">
    <w:name w:val="subhead"/>
    <w:basedOn w:val="Subheading"/>
    <w:link w:val="subheadChar"/>
    <w:uiPriority w:val="99"/>
    <w:rsid w:val="000B7BCF"/>
  </w:style>
  <w:style w:type="character" w:customStyle="1" w:styleId="ChapterHeadingChar">
    <w:name w:val="Chapter Heading Char"/>
    <w:basedOn w:val="DefaultParagraphFont"/>
    <w:link w:val="ChapterHeading"/>
    <w:uiPriority w:val="99"/>
    <w:semiHidden/>
    <w:locked/>
    <w:rsid w:val="000B7BCF"/>
    <w:rPr>
      <w:rFonts w:ascii="Calibri" w:hAnsi="Calibri" w:cs="Arial"/>
      <w:b/>
      <w:noProof/>
      <w:spacing w:val="-5"/>
      <w:sz w:val="36"/>
      <w:szCs w:val="36"/>
      <w:lang w:eastAsia="en-US"/>
    </w:rPr>
  </w:style>
  <w:style w:type="character" w:customStyle="1" w:styleId="HeadingChar">
    <w:name w:val="Heading Char"/>
    <w:basedOn w:val="ChapterHeadingChar"/>
    <w:link w:val="Heading"/>
    <w:uiPriority w:val="99"/>
    <w:locked/>
    <w:rsid w:val="000B7BCF"/>
    <w:rPr>
      <w:rFonts w:ascii="Calibri" w:hAnsi="Calibri" w:cs="Arial"/>
      <w:b/>
      <w:noProof/>
      <w:spacing w:val="-5"/>
      <w:sz w:val="36"/>
      <w:szCs w:val="36"/>
      <w:lang w:eastAsia="en-US"/>
    </w:rPr>
  </w:style>
  <w:style w:type="paragraph" w:customStyle="1" w:styleId="body">
    <w:name w:val="body"/>
    <w:basedOn w:val="Normal"/>
    <w:link w:val="bodyChar"/>
    <w:uiPriority w:val="99"/>
    <w:rsid w:val="000B7BCF"/>
    <w:pPr>
      <w:jc w:val="both"/>
    </w:pPr>
    <w:rPr>
      <w:rFonts w:cs="Arial"/>
      <w:noProof/>
      <w:sz w:val="22"/>
      <w:szCs w:val="22"/>
    </w:rPr>
  </w:style>
  <w:style w:type="character" w:customStyle="1" w:styleId="SubheadingChar">
    <w:name w:val="Subheading Char"/>
    <w:basedOn w:val="BodyTextChar"/>
    <w:link w:val="Subheading"/>
    <w:uiPriority w:val="99"/>
    <w:semiHidden/>
    <w:locked/>
    <w:rsid w:val="000B7BCF"/>
    <w:rPr>
      <w:rFonts w:ascii="Arial" w:hAnsi="Arial" w:cs="Arial"/>
      <w:b/>
      <w:noProof/>
      <w:sz w:val="24"/>
      <w:szCs w:val="24"/>
      <w:lang w:val="en-US" w:eastAsia="en-US"/>
    </w:rPr>
  </w:style>
  <w:style w:type="character" w:customStyle="1" w:styleId="subheadChar">
    <w:name w:val="subhead Char"/>
    <w:basedOn w:val="SubheadingChar"/>
    <w:link w:val="subhead"/>
    <w:uiPriority w:val="99"/>
    <w:locked/>
    <w:rsid w:val="000B7BCF"/>
    <w:rPr>
      <w:rFonts w:ascii="Arial" w:hAnsi="Arial" w:cs="Arial"/>
      <w:b/>
      <w:noProof/>
      <w:sz w:val="24"/>
      <w:szCs w:val="24"/>
      <w:lang w:val="en-US" w:eastAsia="en-US"/>
    </w:rPr>
  </w:style>
  <w:style w:type="paragraph" w:styleId="TOC1">
    <w:name w:val="toc 1"/>
    <w:basedOn w:val="Normal"/>
    <w:next w:val="Normal"/>
    <w:autoRedefine/>
    <w:uiPriority w:val="39"/>
    <w:rsid w:val="007A3FC4"/>
    <w:pPr>
      <w:tabs>
        <w:tab w:val="left" w:pos="440"/>
        <w:tab w:val="right" w:leader="dot" w:pos="8302"/>
      </w:tabs>
      <w:spacing w:after="100"/>
    </w:pPr>
    <w:rPr>
      <w:b/>
      <w:noProof/>
    </w:rPr>
  </w:style>
  <w:style w:type="character" w:customStyle="1" w:styleId="bodyChar">
    <w:name w:val="body Char"/>
    <w:basedOn w:val="DefaultParagraphFont"/>
    <w:link w:val="body"/>
    <w:uiPriority w:val="99"/>
    <w:locked/>
    <w:rsid w:val="000B7BCF"/>
    <w:rPr>
      <w:rFonts w:ascii="Arial" w:hAnsi="Arial" w:cs="Arial"/>
      <w:noProof/>
      <w:spacing w:val="-5"/>
      <w:sz w:val="22"/>
      <w:szCs w:val="22"/>
      <w:lang w:eastAsia="en-US"/>
    </w:rPr>
  </w:style>
  <w:style w:type="paragraph" w:styleId="TOC2">
    <w:name w:val="toc 2"/>
    <w:basedOn w:val="Normal"/>
    <w:next w:val="Normal"/>
    <w:autoRedefine/>
    <w:uiPriority w:val="39"/>
    <w:rsid w:val="0079250A"/>
    <w:pPr>
      <w:tabs>
        <w:tab w:val="left" w:pos="880"/>
        <w:tab w:val="right" w:leader="dot" w:pos="8302"/>
      </w:tabs>
      <w:spacing w:after="100"/>
      <w:ind w:left="520" w:hanging="520"/>
    </w:pPr>
    <w:rPr>
      <w:noProof/>
      <w:color w:val="1D1B11"/>
      <w:sz w:val="18"/>
    </w:rPr>
  </w:style>
  <w:style w:type="paragraph" w:customStyle="1" w:styleId="introduction">
    <w:name w:val="introduction"/>
    <w:basedOn w:val="Normal"/>
    <w:uiPriority w:val="99"/>
    <w:rsid w:val="00E92363"/>
    <w:pPr>
      <w:spacing w:before="100" w:beforeAutospacing="1" w:after="100" w:afterAutospacing="1"/>
    </w:pPr>
    <w:rPr>
      <w:rFonts w:ascii="Times New Roman" w:hAnsi="Times New Roman"/>
      <w:spacing w:val="0"/>
      <w:sz w:val="24"/>
      <w:szCs w:val="24"/>
      <w:lang w:val="en-US"/>
    </w:rPr>
  </w:style>
  <w:style w:type="paragraph" w:customStyle="1" w:styleId="bullet">
    <w:name w:val="bullet"/>
    <w:basedOn w:val="Normal"/>
    <w:rsid w:val="008353F2"/>
    <w:pPr>
      <w:spacing w:after="300" w:line="300" w:lineRule="exact"/>
    </w:pPr>
    <w:rPr>
      <w:rFonts w:ascii="Optima" w:hAnsi="Optima"/>
      <w:spacing w:val="0"/>
    </w:rPr>
  </w:style>
  <w:style w:type="paragraph" w:styleId="TOCHeading">
    <w:name w:val="TOC Heading"/>
    <w:basedOn w:val="Heading1"/>
    <w:next w:val="Normal"/>
    <w:uiPriority w:val="39"/>
    <w:unhideWhenUsed/>
    <w:qFormat/>
    <w:rsid w:val="006C0AF1"/>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customStyle="1" w:styleId="Default">
    <w:name w:val="Default"/>
    <w:rsid w:val="0035073C"/>
    <w:pPr>
      <w:autoSpaceDE w:val="0"/>
      <w:autoSpaceDN w:val="0"/>
      <w:adjustRightInd w:val="0"/>
    </w:pPr>
    <w:rPr>
      <w:rFonts w:ascii="Arial" w:hAnsi="Arial" w:cs="Arial"/>
      <w:color w:val="000000"/>
      <w:sz w:val="24"/>
      <w:szCs w:val="24"/>
    </w:rPr>
  </w:style>
  <w:style w:type="paragraph" w:styleId="ListNumber">
    <w:name w:val="List Number"/>
    <w:basedOn w:val="Normal"/>
    <w:uiPriority w:val="99"/>
    <w:semiHidden/>
    <w:unhideWhenUsed/>
    <w:locked/>
    <w:rsid w:val="00546656"/>
    <w:pPr>
      <w:numPr>
        <w:numId w:val="23"/>
      </w:numPr>
      <w:contextualSpacing/>
    </w:pPr>
  </w:style>
  <w:style w:type="character" w:styleId="CommentReference">
    <w:name w:val="annotation reference"/>
    <w:basedOn w:val="DefaultParagraphFont"/>
    <w:uiPriority w:val="99"/>
    <w:semiHidden/>
    <w:unhideWhenUsed/>
    <w:locked/>
    <w:rsid w:val="0069389B"/>
    <w:rPr>
      <w:sz w:val="16"/>
      <w:szCs w:val="16"/>
    </w:rPr>
  </w:style>
  <w:style w:type="paragraph" w:styleId="CommentText">
    <w:name w:val="annotation text"/>
    <w:basedOn w:val="Normal"/>
    <w:link w:val="CommentTextChar"/>
    <w:uiPriority w:val="99"/>
    <w:unhideWhenUsed/>
    <w:locked/>
    <w:rsid w:val="0069389B"/>
  </w:style>
  <w:style w:type="character" w:customStyle="1" w:styleId="CommentTextChar">
    <w:name w:val="Comment Text Char"/>
    <w:basedOn w:val="DefaultParagraphFont"/>
    <w:link w:val="CommentText"/>
    <w:uiPriority w:val="99"/>
    <w:rsid w:val="0069389B"/>
    <w:rPr>
      <w:rFonts w:ascii="Arial" w:hAnsi="Arial"/>
      <w:spacing w:val="-5"/>
      <w:sz w:val="20"/>
      <w:szCs w:val="20"/>
      <w:lang w:eastAsia="en-US"/>
    </w:rPr>
  </w:style>
  <w:style w:type="paragraph" w:styleId="CommentSubject">
    <w:name w:val="annotation subject"/>
    <w:basedOn w:val="CommentText"/>
    <w:next w:val="CommentText"/>
    <w:link w:val="CommentSubjectChar"/>
    <w:uiPriority w:val="99"/>
    <w:semiHidden/>
    <w:unhideWhenUsed/>
    <w:locked/>
    <w:rsid w:val="0069389B"/>
    <w:rPr>
      <w:b/>
      <w:bCs/>
    </w:rPr>
  </w:style>
  <w:style w:type="character" w:customStyle="1" w:styleId="CommentSubjectChar">
    <w:name w:val="Comment Subject Char"/>
    <w:basedOn w:val="CommentTextChar"/>
    <w:link w:val="CommentSubject"/>
    <w:uiPriority w:val="99"/>
    <w:semiHidden/>
    <w:rsid w:val="0069389B"/>
    <w:rPr>
      <w:rFonts w:ascii="Arial" w:hAnsi="Arial"/>
      <w:b/>
      <w:bCs/>
      <w:spacing w:val="-5"/>
      <w:sz w:val="20"/>
      <w:szCs w:val="20"/>
      <w:lang w:eastAsia="en-US"/>
    </w:rPr>
  </w:style>
  <w:style w:type="paragraph" w:styleId="Revision">
    <w:name w:val="Revision"/>
    <w:hidden/>
    <w:uiPriority w:val="99"/>
    <w:semiHidden/>
    <w:rsid w:val="00670ED0"/>
    <w:rPr>
      <w:rFonts w:ascii="Arial" w:hAnsi="Arial"/>
      <w:spacing w:val="-5"/>
      <w:sz w:val="20"/>
      <w:szCs w:val="20"/>
      <w:lang w:eastAsia="en-US"/>
    </w:rPr>
  </w:style>
  <w:style w:type="table" w:customStyle="1" w:styleId="DefaultTable">
    <w:name w:val="Default Table"/>
    <w:basedOn w:val="TableNormal"/>
    <w:uiPriority w:val="99"/>
    <w:rsid w:val="004A55B2"/>
    <w:rPr>
      <w:rFonts w:ascii="Arial" w:eastAsia="Arial" w:hAnsi="Arial"/>
      <w:sz w:val="20"/>
      <w:szCs w:val="20"/>
      <w:lang w:val="en-AU" w:eastAsia="en-US"/>
    </w:rPr>
    <w:tblPr>
      <w:tblInd w:w="11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113" w:type="dxa"/>
        <w:right w:w="113" w:type="dxa"/>
      </w:tblCellMar>
    </w:tblPr>
    <w:tblStylePr w:type="firstRow">
      <w:rPr>
        <w:b/>
        <w:color w:val="FFFFFF"/>
      </w:rPr>
      <w:tblPr/>
      <w:tcPr>
        <w:shd w:val="clear" w:color="auto" w:fill="252D59"/>
      </w:tcPr>
    </w:tblStylePr>
    <w:tblStylePr w:type="firstCol">
      <w:rPr>
        <w:color w:val="F2F2F2"/>
      </w:rPr>
      <w:tblPr/>
      <w:tcPr>
        <w:shd w:val="clear" w:color="auto" w:fill="C9CEE8"/>
      </w:tcPr>
    </w:tblStylePr>
  </w:style>
  <w:style w:type="table" w:customStyle="1" w:styleId="DefaultTable2">
    <w:name w:val="Default Table2"/>
    <w:basedOn w:val="TableNormal"/>
    <w:uiPriority w:val="99"/>
    <w:rsid w:val="005B79F6"/>
    <w:rPr>
      <w:rFonts w:ascii="Arial" w:eastAsia="Arial" w:hAnsi="Arial"/>
      <w:sz w:val="20"/>
      <w:szCs w:val="20"/>
      <w:lang w:val="en-AU" w:eastAsia="en-US"/>
    </w:rPr>
    <w:tblPr>
      <w:tblInd w:w="11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113" w:type="dxa"/>
        <w:right w:w="113" w:type="dxa"/>
      </w:tblCellMar>
    </w:tblPr>
    <w:tblStylePr w:type="firstRow">
      <w:rPr>
        <w:b/>
        <w:color w:val="FFFFFF"/>
      </w:rPr>
      <w:tblPr/>
      <w:tcPr>
        <w:shd w:val="clear" w:color="auto" w:fill="252D59"/>
      </w:tcPr>
    </w:tblStylePr>
    <w:tblStylePr w:type="firstCol">
      <w:rPr>
        <w:color w:val="F2F2F2"/>
      </w:rPr>
      <w:tblPr/>
      <w:tcPr>
        <w:shd w:val="clear" w:color="auto" w:fill="C9CEE8"/>
      </w:tcPr>
    </w:tblStylePr>
  </w:style>
  <w:style w:type="table" w:customStyle="1" w:styleId="DefaultTable4">
    <w:name w:val="Default Table4"/>
    <w:basedOn w:val="TableNormal"/>
    <w:uiPriority w:val="99"/>
    <w:rsid w:val="00E00BE7"/>
    <w:rPr>
      <w:rFonts w:ascii="Arial" w:eastAsia="Arial" w:hAnsi="Arial"/>
      <w:sz w:val="20"/>
      <w:szCs w:val="20"/>
      <w:lang w:val="en-AU" w:eastAsia="en-US"/>
    </w:rPr>
    <w:tblPr>
      <w:tblInd w:w="11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113" w:type="dxa"/>
        <w:right w:w="113" w:type="dxa"/>
      </w:tblCellMar>
    </w:tblPr>
    <w:tblStylePr w:type="firstRow">
      <w:rPr>
        <w:b/>
        <w:color w:val="FFFFFF"/>
      </w:rPr>
      <w:tblPr/>
      <w:tcPr>
        <w:shd w:val="clear" w:color="auto" w:fill="252D59"/>
      </w:tcPr>
    </w:tblStylePr>
    <w:tblStylePr w:type="firstCol">
      <w:rPr>
        <w:color w:val="F2F2F2"/>
      </w:rPr>
      <w:tblPr/>
      <w:tcPr>
        <w:shd w:val="clear" w:color="auto" w:fill="C9CEE8"/>
      </w:tcPr>
    </w:tblStylePr>
  </w:style>
  <w:style w:type="paragraph" w:styleId="ListBullet">
    <w:name w:val="List Bullet"/>
    <w:basedOn w:val="Normal"/>
    <w:uiPriority w:val="2"/>
    <w:qFormat/>
    <w:locked/>
    <w:rsid w:val="002C47B4"/>
    <w:pPr>
      <w:numPr>
        <w:numId w:val="57"/>
      </w:numPr>
      <w:spacing w:before="120" w:after="120"/>
    </w:pPr>
    <w:rPr>
      <w:rFonts w:eastAsia="Arial"/>
      <w:color w:val="4E4E50"/>
      <w:spacing w:val="0"/>
      <w:sz w:val="22"/>
      <w:szCs w:val="22"/>
      <w:lang w:val="en-AU"/>
    </w:rPr>
  </w:style>
  <w:style w:type="paragraph" w:customStyle="1" w:styleId="BulletTypeA">
    <w:name w:val="Bullet Type A"/>
    <w:basedOn w:val="ListBullet"/>
    <w:rsid w:val="002C47B4"/>
    <w:pPr>
      <w:tabs>
        <w:tab w:val="clear" w:pos="360"/>
      </w:tabs>
      <w:spacing w:before="0"/>
      <w:ind w:left="2724"/>
      <w:jc w:val="both"/>
    </w:pPr>
    <w:rPr>
      <w:rFonts w:ascii="Optima LT Std" w:eastAsiaTheme="minorHAnsi" w:hAnsi="Optima LT Std" w:cstheme="minorBidi"/>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08243">
      <w:bodyDiv w:val="1"/>
      <w:marLeft w:val="0"/>
      <w:marRight w:val="0"/>
      <w:marTop w:val="0"/>
      <w:marBottom w:val="0"/>
      <w:divBdr>
        <w:top w:val="none" w:sz="0" w:space="0" w:color="auto"/>
        <w:left w:val="none" w:sz="0" w:space="0" w:color="auto"/>
        <w:bottom w:val="none" w:sz="0" w:space="0" w:color="auto"/>
        <w:right w:val="none" w:sz="0" w:space="0" w:color="auto"/>
      </w:divBdr>
    </w:div>
    <w:div w:id="629633168">
      <w:bodyDiv w:val="1"/>
      <w:marLeft w:val="0"/>
      <w:marRight w:val="0"/>
      <w:marTop w:val="0"/>
      <w:marBottom w:val="0"/>
      <w:divBdr>
        <w:top w:val="none" w:sz="0" w:space="0" w:color="auto"/>
        <w:left w:val="none" w:sz="0" w:space="0" w:color="auto"/>
        <w:bottom w:val="none" w:sz="0" w:space="0" w:color="auto"/>
        <w:right w:val="none" w:sz="0" w:space="0" w:color="auto"/>
      </w:divBdr>
    </w:div>
    <w:div w:id="842860127">
      <w:bodyDiv w:val="1"/>
      <w:marLeft w:val="0"/>
      <w:marRight w:val="0"/>
      <w:marTop w:val="0"/>
      <w:marBottom w:val="0"/>
      <w:divBdr>
        <w:top w:val="none" w:sz="0" w:space="0" w:color="auto"/>
        <w:left w:val="none" w:sz="0" w:space="0" w:color="auto"/>
        <w:bottom w:val="none" w:sz="0" w:space="0" w:color="auto"/>
        <w:right w:val="none" w:sz="0" w:space="0" w:color="auto"/>
      </w:divBdr>
    </w:div>
    <w:div w:id="203491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754DB-1350-4B56-87FA-BEBBFBD5F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10834</Words>
  <Characters>60355</Characters>
  <Application>Microsoft Office Word</Application>
  <DocSecurity>0</DocSecurity>
  <Lines>502</Lines>
  <Paragraphs>142</Paragraphs>
  <ScaleCrop>false</ScaleCrop>
  <HeadingPairs>
    <vt:vector size="2" baseType="variant">
      <vt:variant>
        <vt:lpstr>Title</vt:lpstr>
      </vt:variant>
      <vt:variant>
        <vt:i4>1</vt:i4>
      </vt:variant>
    </vt:vector>
  </HeadingPairs>
  <TitlesOfParts>
    <vt:vector size="1" baseType="lpstr">
      <vt:lpstr>Council</vt:lpstr>
    </vt:vector>
  </TitlesOfParts>
  <Company>Capita Financials</Company>
  <LinksUpToDate>false</LinksUpToDate>
  <CharactersWithSpaces>71047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dc:title>
  <dc:creator>idyson</dc:creator>
  <cp:lastModifiedBy>Brendan Bradley</cp:lastModifiedBy>
  <cp:revision>4</cp:revision>
  <cp:lastPrinted>2019-03-04T15:46:00Z</cp:lastPrinted>
  <dcterms:created xsi:type="dcterms:W3CDTF">2023-01-25T19:21:00Z</dcterms:created>
  <dcterms:modified xsi:type="dcterms:W3CDTF">2023-02-02T10:58:00Z</dcterms:modified>
</cp:coreProperties>
</file>